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08DD10BA"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3A7F88">
        <w:rPr>
          <w:rFonts w:ascii="Arial" w:eastAsia="Tahoma" w:hAnsi="Arial" w:cs="Arial"/>
          <w:b/>
          <w:bCs/>
          <w:kern w:val="0"/>
          <w:sz w:val="22"/>
          <w:szCs w:val="22"/>
        </w:rPr>
        <w:t>120</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3A7F88" w:rsidRPr="003A7F88">
        <w:rPr>
          <w:rFonts w:ascii="Arial" w:eastAsia="宋体" w:hAnsi="Arial" w:cs="Times New Roman"/>
          <w:b/>
          <w:kern w:val="0"/>
          <w:sz w:val="22"/>
          <w:szCs w:val="22"/>
        </w:rPr>
        <w:t>R2-2211668</w:t>
      </w:r>
    </w:p>
    <w:p w14:paraId="1ACF583D" w14:textId="77777777" w:rsidR="003A7F88" w:rsidRPr="00D8388D" w:rsidRDefault="003A7F88" w:rsidP="003A7F88">
      <w:pPr>
        <w:widowControl/>
        <w:tabs>
          <w:tab w:val="left" w:pos="1979"/>
        </w:tabs>
        <w:spacing w:after="180"/>
        <w:jc w:val="left"/>
        <w:rPr>
          <w:rFonts w:ascii="Arial" w:eastAsia="Tahoma" w:hAnsi="Arial" w:cs="Arial"/>
          <w:b/>
          <w:bCs/>
          <w:kern w:val="0"/>
          <w:sz w:val="22"/>
          <w:szCs w:val="22"/>
        </w:rPr>
      </w:pPr>
      <w:bookmarkStart w:id="3" w:name="_Hlk92532988"/>
      <w:bookmarkStart w:id="4" w:name="_Hlk92533107"/>
      <w:bookmarkEnd w:id="0"/>
      <w:r>
        <w:rPr>
          <w:rFonts w:ascii="Arial" w:eastAsia="Tahoma" w:hAnsi="Arial" w:cs="Arial"/>
          <w:b/>
          <w:bCs/>
          <w:kern w:val="0"/>
          <w:sz w:val="22"/>
          <w:szCs w:val="22"/>
        </w:rPr>
        <w:t>Toulouse, France</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14</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18</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2022</w:t>
      </w:r>
    </w:p>
    <w:p w14:paraId="615799DD" w14:textId="63F579FA"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3A7F88">
        <w:rPr>
          <w:rFonts w:ascii="Arial" w:eastAsia="宋体" w:hAnsi="Arial" w:cs="Times New Roman"/>
          <w:b/>
          <w:kern w:val="0"/>
          <w:sz w:val="22"/>
          <w:szCs w:val="22"/>
        </w:rPr>
        <w:t>8.18</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77FFD24B"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3A7F88" w:rsidRPr="003A7F88">
        <w:rPr>
          <w:rFonts w:ascii="Arial" w:eastAsia="宋体" w:hAnsi="Arial" w:cs="Times New Roman"/>
          <w:b/>
          <w:kern w:val="0"/>
          <w:sz w:val="22"/>
          <w:szCs w:val="22"/>
        </w:rPr>
        <w:t>discussion on UE capability and RRC configuration for UL tx switching</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4449C1A7" w:rsidR="00541641" w:rsidRDefault="00541641" w:rsidP="00DD14D2">
      <w:pPr>
        <w:spacing w:before="120" w:after="120"/>
        <w:rPr>
          <w:rFonts w:eastAsia="宋体"/>
        </w:rPr>
      </w:pPr>
      <w:bookmarkStart w:id="7" w:name="_Hlk85390381"/>
      <w:bookmarkStart w:id="8" w:name="_Hlk92533704"/>
      <w:r>
        <w:rPr>
          <w:rFonts w:eastAsia="宋体" w:hint="eastAsia"/>
        </w:rPr>
        <w:t>A</w:t>
      </w:r>
      <w:r>
        <w:rPr>
          <w:rFonts w:eastAsia="宋体"/>
        </w:rPr>
        <w:t xml:space="preserve">ccording to </w:t>
      </w:r>
      <w:r w:rsidR="003A7F88">
        <w:rPr>
          <w:rFonts w:eastAsia="宋体"/>
        </w:rPr>
        <w:t>RAN1</w:t>
      </w:r>
      <w:r w:rsidR="00A614E8">
        <w:rPr>
          <w:rFonts w:eastAsia="宋体"/>
        </w:rPr>
        <w:t xml:space="preserve"> LS[1]</w:t>
      </w:r>
      <w:r>
        <w:rPr>
          <w:rFonts w:eastAsia="宋体"/>
        </w:rPr>
        <w:t>, the following agreements were made:</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0B4C1B07" w14:textId="77777777" w:rsidR="00A614E8" w:rsidRDefault="00A614E8" w:rsidP="00A614E8">
            <w:pPr>
              <w:textAlignment w:val="baseline"/>
              <w:rPr>
                <w:b/>
                <w:bCs/>
                <w:sz w:val="22"/>
                <w:szCs w:val="22"/>
                <w:u w:val="single"/>
              </w:rPr>
            </w:pPr>
            <w:r>
              <w:rPr>
                <w:rFonts w:hint="eastAsia"/>
                <w:b/>
                <w:bCs/>
                <w:sz w:val="22"/>
                <w:szCs w:val="22"/>
                <w:highlight w:val="green"/>
                <w:u w:val="single"/>
              </w:rPr>
              <w:t>Updated Proposed agreement 3.1.3</w:t>
            </w:r>
          </w:p>
          <w:p w14:paraId="01B5A1D5" w14:textId="77777777" w:rsidR="00A614E8" w:rsidRDefault="00A614E8" w:rsidP="00A614E8">
            <w:pPr>
              <w:widowControl/>
              <w:numPr>
                <w:ilvl w:val="0"/>
                <w:numId w:val="18"/>
              </w:numPr>
              <w:autoSpaceDN w:val="0"/>
              <w:rPr>
                <w:rFonts w:ascii="Yu Gothic" w:hAnsi="Yu Gothic" w:cs="Gulim"/>
                <w:b/>
                <w:bCs/>
                <w:sz w:val="22"/>
                <w:szCs w:val="22"/>
              </w:rPr>
            </w:pPr>
            <w:r>
              <w:rPr>
                <w:rFonts w:hint="eastAsia"/>
                <w:b/>
                <w:bCs/>
                <w:sz w:val="22"/>
                <w:szCs w:val="22"/>
              </w:rPr>
              <w:t>Ask RAN2 to consider following alternatives for UE capability reporting about the supported UL Tx switching options</w:t>
            </w:r>
          </w:p>
          <w:p w14:paraId="300E1B06" w14:textId="77777777" w:rsidR="00A614E8" w:rsidRDefault="00A614E8" w:rsidP="00A614E8">
            <w:pPr>
              <w:pStyle w:val="aa"/>
              <w:widowControl/>
              <w:numPr>
                <w:ilvl w:val="1"/>
                <w:numId w:val="18"/>
              </w:numPr>
              <w:autoSpaceDN w:val="0"/>
              <w:ind w:firstLineChars="0"/>
              <w:rPr>
                <w:b/>
                <w:bCs/>
                <w:sz w:val="22"/>
              </w:rPr>
            </w:pPr>
            <w:r>
              <w:rPr>
                <w:rFonts w:hint="eastAsia"/>
                <w:b/>
                <w:bCs/>
                <w:sz w:val="22"/>
              </w:rPr>
              <w:t>Alt.1: report {switchedUL, dualUL, both} for each band pair in the band combination</w:t>
            </w:r>
          </w:p>
          <w:p w14:paraId="282F77AC" w14:textId="77777777" w:rsidR="00A614E8" w:rsidRDefault="00A614E8" w:rsidP="00A614E8">
            <w:pPr>
              <w:pStyle w:val="aa"/>
              <w:widowControl/>
              <w:numPr>
                <w:ilvl w:val="1"/>
                <w:numId w:val="18"/>
              </w:numPr>
              <w:ind w:firstLineChars="0"/>
              <w:rPr>
                <w:b/>
                <w:bCs/>
                <w:sz w:val="22"/>
              </w:rPr>
            </w:pPr>
            <w:r>
              <w:rPr>
                <w:rFonts w:hint="eastAsia"/>
                <w:b/>
                <w:bCs/>
                <w:sz w:val="22"/>
              </w:rPr>
              <w:t>Alt.2: report {switchedUL, dualUL, both} for the band combination and report supported band pair for concurrent transmission for the band combination</w:t>
            </w:r>
          </w:p>
          <w:p w14:paraId="400ED7CD" w14:textId="77777777" w:rsidR="00A614E8" w:rsidRPr="0024027B" w:rsidRDefault="00A614E8" w:rsidP="00A614E8">
            <w:pPr>
              <w:pStyle w:val="aa"/>
              <w:widowControl/>
              <w:numPr>
                <w:ilvl w:val="2"/>
                <w:numId w:val="18"/>
              </w:numPr>
              <w:ind w:firstLineChars="0"/>
              <w:rPr>
                <w:b/>
                <w:bCs/>
                <w:sz w:val="22"/>
              </w:rPr>
            </w:pPr>
            <w:r w:rsidRPr="0024027B">
              <w:rPr>
                <w:rFonts w:hint="eastAsia"/>
                <w:b/>
                <w:bCs/>
                <w:sz w:val="22"/>
              </w:rPr>
              <w:t>Note</w:t>
            </w:r>
            <w:r w:rsidRPr="0024027B">
              <w:rPr>
                <w:rFonts w:hint="eastAsia"/>
                <w:b/>
                <w:bCs/>
                <w:sz w:val="22"/>
              </w:rPr>
              <w:t>：</w:t>
            </w:r>
            <w:r w:rsidRPr="0024027B">
              <w:rPr>
                <w:rFonts w:hint="eastAsia"/>
                <w:b/>
                <w:bCs/>
                <w:sz w:val="22"/>
              </w:rPr>
              <w:t xml:space="preserve">If there is no report on the supported band pair(s) for concurrent transmission while the UE reports </w:t>
            </w:r>
            <w:r w:rsidRPr="0024027B">
              <w:rPr>
                <w:rFonts w:hint="eastAsia"/>
                <w:b/>
                <w:bCs/>
                <w:sz w:val="22"/>
              </w:rPr>
              <w:t>“</w:t>
            </w:r>
            <w:r w:rsidRPr="0024027B">
              <w:rPr>
                <w:rFonts w:hint="eastAsia"/>
                <w:b/>
                <w:bCs/>
                <w:sz w:val="22"/>
              </w:rPr>
              <w:t>dualUL</w:t>
            </w:r>
            <w:r w:rsidRPr="0024027B">
              <w:rPr>
                <w:rFonts w:hint="eastAsia"/>
                <w:b/>
                <w:bCs/>
                <w:sz w:val="22"/>
              </w:rPr>
              <w:t>”</w:t>
            </w:r>
            <w:r w:rsidRPr="0024027B">
              <w:rPr>
                <w:rFonts w:hint="eastAsia"/>
                <w:b/>
                <w:bCs/>
                <w:sz w:val="22"/>
              </w:rPr>
              <w:t xml:space="preserve"> or </w:t>
            </w:r>
            <w:r w:rsidRPr="0024027B">
              <w:rPr>
                <w:rFonts w:hint="eastAsia"/>
                <w:b/>
                <w:bCs/>
                <w:sz w:val="22"/>
              </w:rPr>
              <w:t>“</w:t>
            </w:r>
            <w:r w:rsidRPr="0024027B">
              <w:rPr>
                <w:rFonts w:hint="eastAsia"/>
                <w:b/>
                <w:bCs/>
                <w:sz w:val="22"/>
              </w:rPr>
              <w:t>both</w:t>
            </w:r>
            <w:r w:rsidRPr="0024027B">
              <w:rPr>
                <w:rFonts w:hint="eastAsia"/>
                <w:b/>
                <w:bCs/>
                <w:sz w:val="22"/>
              </w:rPr>
              <w:t>”</w:t>
            </w:r>
            <w:r w:rsidRPr="0024027B">
              <w:rPr>
                <w:rFonts w:hint="eastAsia"/>
                <w:b/>
                <w:bCs/>
                <w:sz w:val="22"/>
              </w:rPr>
              <w:t xml:space="preserve"> for the band combination, gNB may assume that the UE supports concurrent transmission on all the band pairs within the band combination</w:t>
            </w:r>
          </w:p>
          <w:p w14:paraId="1479B6E8" w14:textId="77777777" w:rsidR="00A614E8" w:rsidRDefault="00A614E8" w:rsidP="00A614E8">
            <w:pPr>
              <w:pStyle w:val="aa"/>
              <w:widowControl/>
              <w:numPr>
                <w:ilvl w:val="1"/>
                <w:numId w:val="18"/>
              </w:numPr>
              <w:ind w:firstLineChars="0"/>
              <w:rPr>
                <w:b/>
                <w:bCs/>
                <w:sz w:val="22"/>
              </w:rPr>
            </w:pPr>
            <w:r>
              <w:rPr>
                <w:rFonts w:hint="eastAsia"/>
                <w:b/>
                <w:bCs/>
                <w:sz w:val="22"/>
              </w:rPr>
              <w:t>Alt.3: report {dualUL} for each band pair in the band combination</w:t>
            </w:r>
          </w:p>
          <w:p w14:paraId="4036A2B1" w14:textId="26BA1BAD" w:rsidR="00A614E8" w:rsidRPr="00A614E8" w:rsidRDefault="00A614E8" w:rsidP="00A614E8">
            <w:pPr>
              <w:pStyle w:val="aa"/>
              <w:widowControl/>
              <w:numPr>
                <w:ilvl w:val="2"/>
                <w:numId w:val="18"/>
              </w:numPr>
              <w:ind w:firstLineChars="0"/>
              <w:rPr>
                <w:b/>
                <w:bCs/>
                <w:sz w:val="22"/>
              </w:rPr>
            </w:pPr>
            <w:r>
              <w:rPr>
                <w:rFonts w:hint="eastAsia"/>
                <w:b/>
                <w:bCs/>
                <w:sz w:val="22"/>
              </w:rPr>
              <w:t>Note: Within the band combination, the UE shall be capable of being operated in switched UL mode for all band pairs</w:t>
            </w:r>
          </w:p>
          <w:p w14:paraId="0B0C381F" w14:textId="77777777" w:rsidR="00A614E8" w:rsidRDefault="00A614E8" w:rsidP="00A614E8">
            <w:pPr>
              <w:textAlignment w:val="baseline"/>
              <w:rPr>
                <w:b/>
                <w:bCs/>
                <w:sz w:val="22"/>
                <w:szCs w:val="22"/>
                <w:u w:val="single"/>
              </w:rPr>
            </w:pPr>
            <w:r>
              <w:rPr>
                <w:rFonts w:hint="eastAsia"/>
                <w:b/>
                <w:bCs/>
                <w:sz w:val="22"/>
                <w:szCs w:val="22"/>
                <w:highlight w:val="green"/>
                <w:u w:val="single"/>
              </w:rPr>
              <w:t>Updated Proposed agreement 3.1.4</w:t>
            </w:r>
          </w:p>
          <w:p w14:paraId="6ED1AC3D" w14:textId="77777777" w:rsidR="00A614E8" w:rsidRPr="0024027B" w:rsidRDefault="00A614E8" w:rsidP="00A614E8">
            <w:pPr>
              <w:widowControl/>
              <w:numPr>
                <w:ilvl w:val="0"/>
                <w:numId w:val="18"/>
              </w:numPr>
              <w:rPr>
                <w:rFonts w:ascii="Yu Gothic" w:hAnsi="Yu Gothic" w:cs="Gulim"/>
                <w:b/>
                <w:bCs/>
                <w:sz w:val="22"/>
                <w:szCs w:val="22"/>
              </w:rPr>
            </w:pPr>
            <w:r>
              <w:rPr>
                <w:rFonts w:hint="eastAsia"/>
                <w:b/>
                <w:bCs/>
                <w:sz w:val="22"/>
                <w:szCs w:val="22"/>
              </w:rPr>
              <w:t>Ask RAN2 to consider following alternativ</w:t>
            </w:r>
            <w:r w:rsidRPr="0024027B">
              <w:rPr>
                <w:rFonts w:hint="eastAsia"/>
                <w:b/>
                <w:bCs/>
                <w:sz w:val="22"/>
                <w:szCs w:val="22"/>
              </w:rPr>
              <w:t>es and specify gNB configuration</w:t>
            </w:r>
          </w:p>
          <w:p w14:paraId="7CC99C17" w14:textId="77777777" w:rsidR="00A614E8" w:rsidRPr="0024027B" w:rsidRDefault="00A614E8" w:rsidP="00A614E8">
            <w:pPr>
              <w:pStyle w:val="aa"/>
              <w:widowControl/>
              <w:numPr>
                <w:ilvl w:val="1"/>
                <w:numId w:val="18"/>
              </w:numPr>
              <w:ind w:firstLineChars="0"/>
              <w:rPr>
                <w:b/>
                <w:bCs/>
                <w:sz w:val="22"/>
              </w:rPr>
            </w:pPr>
            <w:r w:rsidRPr="0024027B">
              <w:rPr>
                <w:rFonts w:hint="eastAsia"/>
                <w:b/>
                <w:bCs/>
                <w:sz w:val="22"/>
              </w:rPr>
              <w:t>Alt.1: configure {switchedUL, dualUL} for all serving cells (i.e., for the band combination)</w:t>
            </w:r>
          </w:p>
          <w:p w14:paraId="4820E417" w14:textId="77777777" w:rsidR="00A614E8" w:rsidRDefault="00A614E8" w:rsidP="00A614E8">
            <w:pPr>
              <w:pStyle w:val="aa"/>
              <w:widowControl/>
              <w:numPr>
                <w:ilvl w:val="1"/>
                <w:numId w:val="18"/>
              </w:numPr>
              <w:ind w:firstLineChars="0"/>
              <w:rPr>
                <w:b/>
                <w:bCs/>
                <w:sz w:val="22"/>
              </w:rPr>
            </w:pPr>
            <w:r w:rsidRPr="0024027B">
              <w:rPr>
                <w:rFonts w:hint="eastAsia"/>
                <w:b/>
                <w:bCs/>
                <w:sz w:val="22"/>
              </w:rPr>
              <w:t>Alt.2: configure {switchedUL, dualUL} for combination(s) of serving cells (i.e., for each band pair in the band combination)</w:t>
            </w:r>
          </w:p>
          <w:p w14:paraId="6E087472" w14:textId="07B50F84" w:rsidR="00A93A63" w:rsidRPr="00A614E8" w:rsidRDefault="00A614E8" w:rsidP="00A614E8">
            <w:pPr>
              <w:pStyle w:val="aa"/>
              <w:widowControl/>
              <w:numPr>
                <w:ilvl w:val="1"/>
                <w:numId w:val="18"/>
              </w:numPr>
              <w:ind w:firstLineChars="0"/>
              <w:rPr>
                <w:b/>
                <w:bCs/>
                <w:sz w:val="22"/>
              </w:rPr>
            </w:pPr>
            <w:r w:rsidRPr="00A614E8">
              <w:rPr>
                <w:rFonts w:eastAsia="Malgun Gothic" w:hint="eastAsia"/>
                <w:b/>
                <w:bCs/>
                <w:sz w:val="22"/>
              </w:rPr>
              <w:t>Alt.3: configure {switchedUL, dualUL} for all serving cells (i.e., for the band combination), and configure combination(s) of serving cells (i.e., as supported serving cell pair(s) for each band pair</w:t>
            </w:r>
            <w:r w:rsidRPr="00A614E8">
              <w:rPr>
                <w:rFonts w:eastAsia="Malgun Gothic" w:hint="eastAsia"/>
                <w:szCs w:val="20"/>
              </w:rPr>
              <w:t xml:space="preserve"> </w:t>
            </w:r>
            <w:r w:rsidRPr="00A614E8">
              <w:rPr>
                <w:rFonts w:eastAsia="Malgun Gothic" w:hint="eastAsia"/>
                <w:b/>
                <w:bCs/>
                <w:sz w:val="22"/>
              </w:rPr>
              <w:t>in the band combination) for concurrent transmission</w:t>
            </w:r>
          </w:p>
        </w:tc>
      </w:tr>
    </w:tbl>
    <w:p w14:paraId="1FA6579C" w14:textId="5320BE43" w:rsidR="00541641" w:rsidRDefault="00541641" w:rsidP="00DD14D2">
      <w:pPr>
        <w:spacing w:before="120" w:after="120"/>
      </w:pPr>
      <w:r>
        <w:rPr>
          <w:rFonts w:eastAsia="宋体"/>
        </w:rPr>
        <w:t>In this contribution</w:t>
      </w:r>
      <w:r w:rsidR="00A93A63">
        <w:rPr>
          <w:rFonts w:eastAsia="宋体"/>
        </w:rPr>
        <w:t>,</w:t>
      </w:r>
      <w:r>
        <w:rPr>
          <w:rFonts w:eastAsia="宋体"/>
        </w:rPr>
        <w:t xml:space="preserve"> we will </w:t>
      </w:r>
      <w:r w:rsidR="00CD4DAB">
        <w:rPr>
          <w:rFonts w:eastAsia="宋体"/>
        </w:rPr>
        <w:t>discuss about UE capability reporting and RRC configuration for UL Tx switching</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52FFB081" w:rsidR="00541641" w:rsidRDefault="00CD4DAB" w:rsidP="00541641">
      <w:pPr>
        <w:pStyle w:val="2"/>
      </w:pPr>
      <w:r>
        <w:rPr>
          <w:rFonts w:hint="eastAsia"/>
        </w:rPr>
        <w:t>UE</w:t>
      </w:r>
      <w:r>
        <w:t xml:space="preserve"> capability reporting</w:t>
      </w:r>
    </w:p>
    <w:p w14:paraId="69DF218C" w14:textId="1F6BD10D" w:rsidR="00A2414B" w:rsidRDefault="00FB7F07" w:rsidP="000070DC">
      <w:pPr>
        <w:spacing w:before="120" w:after="120"/>
      </w:pPr>
      <w:r>
        <w:t xml:space="preserve">In legacy </w:t>
      </w:r>
      <w:r>
        <w:rPr>
          <w:rFonts w:hint="eastAsia"/>
        </w:rPr>
        <w:t>UE</w:t>
      </w:r>
      <w:r>
        <w:t xml:space="preserve"> capability</w:t>
      </w:r>
      <w:bookmarkStart w:id="9" w:name="_GoBack"/>
      <w:bookmarkEnd w:id="9"/>
      <w:r>
        <w:t xml:space="preserve"> reporting for Rel-16</w:t>
      </w:r>
      <w:r w:rsidR="00C43551">
        <w:t>/</w:t>
      </w:r>
      <w:r>
        <w:t xml:space="preserve">17 UL Tx switching, </w:t>
      </w:r>
      <w:r w:rsidRPr="00FB7F07">
        <w:t>the supported UL Tx switching options</w:t>
      </w:r>
      <w:r>
        <w:t xml:space="preserve"> are reported at a per BC level</w:t>
      </w:r>
      <w:r w:rsidR="00C43551">
        <w:t xml:space="preserve"> [2]</w:t>
      </w:r>
      <w:r>
        <w:t>:</w:t>
      </w:r>
    </w:p>
    <w:p w14:paraId="060450C0" w14:textId="77777777" w:rsidR="00FB7F07" w:rsidRPr="00FB7F07" w:rsidRDefault="00FB7F07" w:rsidP="00FB7F07">
      <w:pPr>
        <w:pStyle w:val="PL"/>
        <w:snapToGrid w:val="0"/>
        <w:rPr>
          <w:snapToGrid w:val="0"/>
        </w:rPr>
      </w:pPr>
      <w:r w:rsidRPr="00FB7F07">
        <w:rPr>
          <w:snapToGrid w:val="0"/>
        </w:rPr>
        <w:lastRenderedPageBreak/>
        <w:t xml:space="preserve">BandCombination-UplinkTxSwitch-r16 ::= </w:t>
      </w:r>
      <w:r w:rsidRPr="00FB7F07">
        <w:rPr>
          <w:snapToGrid w:val="0"/>
          <w:color w:val="993366"/>
        </w:rPr>
        <w:t>SEQUENCE</w:t>
      </w:r>
      <w:r w:rsidRPr="00FB7F07">
        <w:rPr>
          <w:snapToGrid w:val="0"/>
        </w:rPr>
        <w:t xml:space="preserve"> {</w:t>
      </w:r>
    </w:p>
    <w:p w14:paraId="6E9A7B10" w14:textId="77777777" w:rsidR="00FB7F07" w:rsidRPr="00FB7F07" w:rsidRDefault="00FB7F07" w:rsidP="00FB7F07">
      <w:pPr>
        <w:pStyle w:val="PL"/>
        <w:snapToGrid w:val="0"/>
        <w:rPr>
          <w:snapToGrid w:val="0"/>
        </w:rPr>
      </w:pPr>
      <w:r w:rsidRPr="00FB7F07">
        <w:rPr>
          <w:snapToGrid w:val="0"/>
        </w:rPr>
        <w:t xml:space="preserve">    bandCombination-r16                 BandCombination,</w:t>
      </w:r>
    </w:p>
    <w:p w14:paraId="37700030" w14:textId="77777777" w:rsidR="00FB7F07" w:rsidRPr="00FB7F07" w:rsidRDefault="00FB7F07" w:rsidP="00FB7F07">
      <w:pPr>
        <w:pStyle w:val="PL"/>
        <w:snapToGrid w:val="0"/>
        <w:rPr>
          <w:snapToGrid w:val="0"/>
        </w:rPr>
      </w:pPr>
      <w:r w:rsidRPr="00FB7F07">
        <w:rPr>
          <w:snapToGrid w:val="0"/>
        </w:rPr>
        <w:t xml:space="preserve">    bandCombination-v1540               BandCombination-v1540                      </w:t>
      </w:r>
      <w:r w:rsidRPr="00FB7F07">
        <w:rPr>
          <w:snapToGrid w:val="0"/>
          <w:color w:val="993366"/>
        </w:rPr>
        <w:t>OPTIONAL</w:t>
      </w:r>
      <w:r w:rsidRPr="00FB7F07">
        <w:rPr>
          <w:snapToGrid w:val="0"/>
        </w:rPr>
        <w:t>,</w:t>
      </w:r>
    </w:p>
    <w:p w14:paraId="5EC3F027" w14:textId="77777777" w:rsidR="00FB7F07" w:rsidRPr="00FB7F07" w:rsidRDefault="00FB7F07" w:rsidP="00FB7F07">
      <w:pPr>
        <w:pStyle w:val="PL"/>
        <w:snapToGrid w:val="0"/>
        <w:rPr>
          <w:snapToGrid w:val="0"/>
        </w:rPr>
      </w:pPr>
      <w:r w:rsidRPr="00FB7F07">
        <w:rPr>
          <w:snapToGrid w:val="0"/>
        </w:rPr>
        <w:t xml:space="preserve">    bandCombination-v1560               BandCombination-v1560                      </w:t>
      </w:r>
      <w:r w:rsidRPr="00FB7F07">
        <w:rPr>
          <w:snapToGrid w:val="0"/>
          <w:color w:val="993366"/>
        </w:rPr>
        <w:t>OPTIONAL</w:t>
      </w:r>
      <w:r w:rsidRPr="00FB7F07">
        <w:rPr>
          <w:snapToGrid w:val="0"/>
        </w:rPr>
        <w:t>,</w:t>
      </w:r>
    </w:p>
    <w:p w14:paraId="1DE0E348" w14:textId="77777777" w:rsidR="00FB7F07" w:rsidRPr="00FB7F07" w:rsidRDefault="00FB7F07" w:rsidP="00FB7F07">
      <w:pPr>
        <w:pStyle w:val="PL"/>
        <w:snapToGrid w:val="0"/>
        <w:rPr>
          <w:snapToGrid w:val="0"/>
        </w:rPr>
      </w:pPr>
      <w:r w:rsidRPr="00FB7F07">
        <w:rPr>
          <w:snapToGrid w:val="0"/>
        </w:rPr>
        <w:t xml:space="preserve">    bandCombination-v1570               BandCombination-v1570                      </w:t>
      </w:r>
      <w:r w:rsidRPr="00FB7F07">
        <w:rPr>
          <w:snapToGrid w:val="0"/>
          <w:color w:val="993366"/>
        </w:rPr>
        <w:t>OPTIONAL</w:t>
      </w:r>
      <w:r w:rsidRPr="00FB7F07">
        <w:rPr>
          <w:snapToGrid w:val="0"/>
        </w:rPr>
        <w:t>,</w:t>
      </w:r>
    </w:p>
    <w:p w14:paraId="577C1633" w14:textId="77777777" w:rsidR="00FB7F07" w:rsidRPr="00FB7F07" w:rsidRDefault="00FB7F07" w:rsidP="00FB7F07">
      <w:pPr>
        <w:pStyle w:val="PL"/>
        <w:snapToGrid w:val="0"/>
        <w:rPr>
          <w:snapToGrid w:val="0"/>
        </w:rPr>
      </w:pPr>
      <w:r w:rsidRPr="00FB7F07">
        <w:rPr>
          <w:snapToGrid w:val="0"/>
        </w:rPr>
        <w:t xml:space="preserve">    bandCombination-v1580               BandCombination-v1580                      </w:t>
      </w:r>
      <w:r w:rsidRPr="00FB7F07">
        <w:rPr>
          <w:snapToGrid w:val="0"/>
          <w:color w:val="993366"/>
        </w:rPr>
        <w:t>OPTIONAL</w:t>
      </w:r>
      <w:r w:rsidRPr="00FB7F07">
        <w:rPr>
          <w:snapToGrid w:val="0"/>
        </w:rPr>
        <w:t>,</w:t>
      </w:r>
    </w:p>
    <w:p w14:paraId="4E6C8296" w14:textId="77777777" w:rsidR="00FB7F07" w:rsidRPr="00FB7F07" w:rsidRDefault="00FB7F07" w:rsidP="00FB7F07">
      <w:pPr>
        <w:pStyle w:val="PL"/>
        <w:snapToGrid w:val="0"/>
        <w:rPr>
          <w:snapToGrid w:val="0"/>
        </w:rPr>
      </w:pPr>
      <w:r w:rsidRPr="00FB7F07">
        <w:rPr>
          <w:snapToGrid w:val="0"/>
        </w:rPr>
        <w:t xml:space="preserve">    bandCombination-v1590               BandCombination-v1590                      </w:t>
      </w:r>
      <w:r w:rsidRPr="00FB7F07">
        <w:rPr>
          <w:snapToGrid w:val="0"/>
          <w:color w:val="993366"/>
        </w:rPr>
        <w:t>OPTIONAL</w:t>
      </w:r>
      <w:r w:rsidRPr="00FB7F07">
        <w:rPr>
          <w:snapToGrid w:val="0"/>
        </w:rPr>
        <w:t>,</w:t>
      </w:r>
    </w:p>
    <w:p w14:paraId="33DA8916" w14:textId="77777777" w:rsidR="00FB7F07" w:rsidRPr="00FB7F07" w:rsidRDefault="00FB7F07" w:rsidP="00FB7F07">
      <w:pPr>
        <w:pStyle w:val="PL"/>
        <w:snapToGrid w:val="0"/>
        <w:rPr>
          <w:snapToGrid w:val="0"/>
        </w:rPr>
      </w:pPr>
      <w:r w:rsidRPr="00FB7F07">
        <w:rPr>
          <w:snapToGrid w:val="0"/>
        </w:rPr>
        <w:t xml:space="preserve">    bandCombination-v1610               BandCombination-v1610                      </w:t>
      </w:r>
      <w:r w:rsidRPr="00FB7F07">
        <w:rPr>
          <w:snapToGrid w:val="0"/>
          <w:color w:val="993366"/>
        </w:rPr>
        <w:t>OPTIONAL</w:t>
      </w:r>
      <w:r w:rsidRPr="00FB7F07">
        <w:rPr>
          <w:snapToGrid w:val="0"/>
        </w:rPr>
        <w:t>,</w:t>
      </w:r>
    </w:p>
    <w:p w14:paraId="61C9ED9A" w14:textId="77777777" w:rsidR="00FB7F07" w:rsidRPr="00FB7F07" w:rsidRDefault="00FB7F07" w:rsidP="00FB7F07">
      <w:pPr>
        <w:pStyle w:val="PL"/>
        <w:snapToGrid w:val="0"/>
        <w:rPr>
          <w:snapToGrid w:val="0"/>
        </w:rPr>
      </w:pPr>
      <w:r w:rsidRPr="00FB7F07">
        <w:rPr>
          <w:snapToGrid w:val="0"/>
        </w:rPr>
        <w:t xml:space="preserve">    supportedBandPairListNR-r16         </w:t>
      </w:r>
      <w:r w:rsidRPr="00FB7F07">
        <w:rPr>
          <w:snapToGrid w:val="0"/>
          <w:color w:val="993366"/>
        </w:rPr>
        <w:t>SEQUENCE</w:t>
      </w:r>
      <w:r w:rsidRPr="00FB7F07">
        <w:rPr>
          <w:snapToGrid w:val="0"/>
        </w:rPr>
        <w:t xml:space="preserve"> (</w:t>
      </w:r>
      <w:r w:rsidRPr="00FB7F07">
        <w:rPr>
          <w:snapToGrid w:val="0"/>
          <w:color w:val="993366"/>
        </w:rPr>
        <w:t>SIZE</w:t>
      </w:r>
      <w:r w:rsidRPr="00FB7F07">
        <w:rPr>
          <w:snapToGrid w:val="0"/>
        </w:rPr>
        <w:t xml:space="preserve"> (1..maxULTxSwitchingBandPairs))</w:t>
      </w:r>
      <w:r w:rsidRPr="00FB7F07">
        <w:rPr>
          <w:snapToGrid w:val="0"/>
          <w:color w:val="993366"/>
        </w:rPr>
        <w:t xml:space="preserve"> OF</w:t>
      </w:r>
      <w:r w:rsidRPr="00FB7F07">
        <w:rPr>
          <w:snapToGrid w:val="0"/>
        </w:rPr>
        <w:t xml:space="preserve"> ULTxSwitchingBandPair-r16,</w:t>
      </w:r>
    </w:p>
    <w:p w14:paraId="1AAD1A45" w14:textId="77777777" w:rsidR="00FB7F07" w:rsidRPr="00FB7F07" w:rsidRDefault="00FB7F07" w:rsidP="00FB7F07">
      <w:pPr>
        <w:pStyle w:val="PL"/>
        <w:snapToGrid w:val="0"/>
        <w:rPr>
          <w:snapToGrid w:val="0"/>
        </w:rPr>
      </w:pPr>
      <w:r w:rsidRPr="00FB7F07">
        <w:rPr>
          <w:snapToGrid w:val="0"/>
        </w:rPr>
        <w:t xml:space="preserve">    </w:t>
      </w:r>
      <w:r w:rsidRPr="00FB7F07">
        <w:rPr>
          <w:snapToGrid w:val="0"/>
          <w:highlight w:val="yellow"/>
        </w:rPr>
        <w:t xml:space="preserve">uplinkTxSwitching-OptionSupport-r16 </w:t>
      </w:r>
      <w:r w:rsidRPr="00FB7F07">
        <w:rPr>
          <w:snapToGrid w:val="0"/>
          <w:color w:val="993366"/>
          <w:highlight w:val="yellow"/>
        </w:rPr>
        <w:t>ENUMERATED</w:t>
      </w:r>
      <w:r w:rsidRPr="00FB7F07">
        <w:rPr>
          <w:snapToGrid w:val="0"/>
          <w:highlight w:val="yellow"/>
        </w:rPr>
        <w:t xml:space="preserve"> {switchedUL, dualUL, both}</w:t>
      </w:r>
      <w:r w:rsidRPr="00FB7F07">
        <w:rPr>
          <w:snapToGrid w:val="0"/>
        </w:rPr>
        <w:t xml:space="preserve">      </w:t>
      </w:r>
      <w:r w:rsidRPr="00FB7F07">
        <w:rPr>
          <w:snapToGrid w:val="0"/>
          <w:color w:val="993366"/>
        </w:rPr>
        <w:t>OPTIONAL</w:t>
      </w:r>
      <w:r w:rsidRPr="00FB7F07">
        <w:rPr>
          <w:snapToGrid w:val="0"/>
        </w:rPr>
        <w:t>,</w:t>
      </w:r>
    </w:p>
    <w:p w14:paraId="7DD57D10" w14:textId="77777777" w:rsidR="00FB7F07" w:rsidRPr="00FB7F07" w:rsidRDefault="00FB7F07" w:rsidP="00FB7F07">
      <w:pPr>
        <w:pStyle w:val="PL"/>
        <w:snapToGrid w:val="0"/>
        <w:rPr>
          <w:snapToGrid w:val="0"/>
        </w:rPr>
      </w:pPr>
      <w:r w:rsidRPr="00FB7F07">
        <w:rPr>
          <w:snapToGrid w:val="0"/>
        </w:rPr>
        <w:t xml:space="preserve">    uplinkTxSwitching-PowerBoosting-r16 </w:t>
      </w:r>
      <w:r w:rsidRPr="00FB7F07">
        <w:rPr>
          <w:snapToGrid w:val="0"/>
          <w:color w:val="993366"/>
        </w:rPr>
        <w:t>ENUMERATED</w:t>
      </w:r>
      <w:r w:rsidRPr="00FB7F07">
        <w:rPr>
          <w:snapToGrid w:val="0"/>
        </w:rPr>
        <w:t xml:space="preserve"> {supported}                     </w:t>
      </w:r>
      <w:r w:rsidRPr="00FB7F07">
        <w:rPr>
          <w:snapToGrid w:val="0"/>
          <w:color w:val="993366"/>
        </w:rPr>
        <w:t>OPTIONAL</w:t>
      </w:r>
      <w:r w:rsidRPr="00FB7F07">
        <w:rPr>
          <w:snapToGrid w:val="0"/>
        </w:rPr>
        <w:t>,</w:t>
      </w:r>
    </w:p>
    <w:p w14:paraId="022BD144" w14:textId="77777777" w:rsidR="00FB7F07" w:rsidRPr="00FB7F07" w:rsidRDefault="00FB7F07" w:rsidP="00FB7F07">
      <w:pPr>
        <w:pStyle w:val="PL"/>
        <w:snapToGrid w:val="0"/>
        <w:rPr>
          <w:snapToGrid w:val="0"/>
        </w:rPr>
      </w:pPr>
      <w:r w:rsidRPr="00FB7F07">
        <w:rPr>
          <w:snapToGrid w:val="0"/>
        </w:rPr>
        <w:t xml:space="preserve">    ...,</w:t>
      </w:r>
    </w:p>
    <w:p w14:paraId="6607DA51" w14:textId="77777777" w:rsidR="00FB7F07" w:rsidRPr="00FB7F07" w:rsidRDefault="00FB7F07" w:rsidP="00FB7F07">
      <w:pPr>
        <w:pStyle w:val="PL"/>
        <w:snapToGrid w:val="0"/>
        <w:rPr>
          <w:snapToGrid w:val="0"/>
        </w:rPr>
      </w:pPr>
      <w:r w:rsidRPr="00FB7F07">
        <w:rPr>
          <w:snapToGrid w:val="0"/>
        </w:rPr>
        <w:t xml:space="preserve">    [[</w:t>
      </w:r>
    </w:p>
    <w:p w14:paraId="564F539B" w14:textId="77777777" w:rsidR="00FB7F07" w:rsidRPr="00FB7F07" w:rsidRDefault="00FB7F07" w:rsidP="00FB7F07">
      <w:pPr>
        <w:pStyle w:val="PL"/>
        <w:snapToGrid w:val="0"/>
        <w:rPr>
          <w:snapToGrid w:val="0"/>
          <w:color w:val="808080"/>
        </w:rPr>
      </w:pPr>
      <w:r w:rsidRPr="00FB7F07">
        <w:rPr>
          <w:snapToGrid w:val="0"/>
        </w:rPr>
        <w:t xml:space="preserve">    </w:t>
      </w:r>
      <w:r w:rsidRPr="00FB7F07">
        <w:rPr>
          <w:snapToGrid w:val="0"/>
          <w:color w:val="808080"/>
        </w:rPr>
        <w:t>-- R4 16-5 UL-MIMO coherence capability for dynamic Tx switching between 3CC 1Tx-2Tx switching</w:t>
      </w:r>
    </w:p>
    <w:p w14:paraId="3C474DA8" w14:textId="77777777" w:rsidR="00FB7F07" w:rsidRPr="00FB7F07" w:rsidRDefault="00FB7F07" w:rsidP="00FB7F07">
      <w:pPr>
        <w:pStyle w:val="PL"/>
        <w:snapToGrid w:val="0"/>
        <w:rPr>
          <w:snapToGrid w:val="0"/>
        </w:rPr>
      </w:pPr>
      <w:r w:rsidRPr="00FB7F07">
        <w:rPr>
          <w:snapToGrid w:val="0"/>
        </w:rPr>
        <w:t xml:space="preserve">    uplinkTxSwitching-PUSCH-TransCoherence-r16     </w:t>
      </w:r>
      <w:r w:rsidRPr="00FB7F07">
        <w:rPr>
          <w:snapToGrid w:val="0"/>
          <w:color w:val="993366"/>
        </w:rPr>
        <w:t>ENUMERATED</w:t>
      </w:r>
      <w:r w:rsidRPr="00FB7F07">
        <w:rPr>
          <w:snapToGrid w:val="0"/>
        </w:rPr>
        <w:t xml:space="preserve"> {nonCoherent, fullCoherent}   </w:t>
      </w:r>
      <w:r w:rsidRPr="00FB7F07">
        <w:rPr>
          <w:snapToGrid w:val="0"/>
          <w:color w:val="993366"/>
        </w:rPr>
        <w:t>OPTIONAL</w:t>
      </w:r>
    </w:p>
    <w:p w14:paraId="167AF289" w14:textId="77777777" w:rsidR="00FB7F07" w:rsidRPr="00FB7F07" w:rsidRDefault="00FB7F07" w:rsidP="00FB7F07">
      <w:pPr>
        <w:pStyle w:val="PL"/>
        <w:snapToGrid w:val="0"/>
        <w:rPr>
          <w:snapToGrid w:val="0"/>
        </w:rPr>
      </w:pPr>
      <w:r w:rsidRPr="00FB7F07">
        <w:rPr>
          <w:snapToGrid w:val="0"/>
        </w:rPr>
        <w:t xml:space="preserve">    ]]</w:t>
      </w:r>
    </w:p>
    <w:p w14:paraId="05B736B5" w14:textId="41948C4F" w:rsidR="00FB7F07" w:rsidRDefault="00FB7F07" w:rsidP="00FB7F07">
      <w:pPr>
        <w:pStyle w:val="PL"/>
        <w:snapToGrid w:val="0"/>
        <w:rPr>
          <w:snapToGrid w:val="0"/>
        </w:rPr>
      </w:pPr>
      <w:r w:rsidRPr="00FB7F07">
        <w:rPr>
          <w:snapToGrid w:val="0"/>
        </w:rPr>
        <w:t>}</w:t>
      </w:r>
    </w:p>
    <w:p w14:paraId="7AD78F28" w14:textId="77777777" w:rsidR="00FB7F07" w:rsidRDefault="00FB7F07" w:rsidP="00FB7F07">
      <w:pPr>
        <w:pStyle w:val="PL"/>
        <w:snapToGrid w:val="0"/>
        <w:rPr>
          <w:snapToGrid w:val="0"/>
        </w:rPr>
      </w:pPr>
    </w:p>
    <w:p w14:paraId="410C7895" w14:textId="77777777" w:rsidR="00FB7F07" w:rsidRPr="00B55E3E" w:rsidRDefault="00FB7F07" w:rsidP="00FB7F07">
      <w:pPr>
        <w:pStyle w:val="PL"/>
        <w:snapToGrid w:val="0"/>
      </w:pPr>
      <w:r w:rsidRPr="00B55E3E">
        <w:t xml:space="preserve">BandCombination-UplinkTxSwitch-v1720 ::= </w:t>
      </w:r>
      <w:r w:rsidRPr="00B55E3E">
        <w:rPr>
          <w:color w:val="993366"/>
        </w:rPr>
        <w:t>SEQUENCE</w:t>
      </w:r>
      <w:r w:rsidRPr="00B55E3E">
        <w:t xml:space="preserve"> {</w:t>
      </w:r>
    </w:p>
    <w:p w14:paraId="167ABDBB" w14:textId="77777777" w:rsidR="00FB7F07" w:rsidRPr="00B55E3E" w:rsidRDefault="00FB7F07" w:rsidP="00FB7F07">
      <w:pPr>
        <w:pStyle w:val="PL"/>
        <w:snapToGrid w:val="0"/>
      </w:pPr>
      <w:r w:rsidRPr="00B55E3E">
        <w:t xml:space="preserve">    bandCombination-v1720                    BandCombination-v1720                 </w:t>
      </w:r>
      <w:r w:rsidRPr="00B55E3E">
        <w:rPr>
          <w:color w:val="993366"/>
        </w:rPr>
        <w:t>OPTIONAL</w:t>
      </w:r>
      <w:r w:rsidRPr="00B55E3E">
        <w:t>,</w:t>
      </w:r>
    </w:p>
    <w:p w14:paraId="7DCD5AFD" w14:textId="77777777" w:rsidR="00FB7F07" w:rsidRPr="00B55E3E" w:rsidRDefault="00FB7F07" w:rsidP="00FB7F07">
      <w:pPr>
        <w:pStyle w:val="PL"/>
        <w:snapToGrid w:val="0"/>
      </w:pPr>
      <w:r w:rsidRPr="00B55E3E">
        <w:t xml:space="preserve">    </w:t>
      </w:r>
      <w:r w:rsidRPr="00FB7F07">
        <w:rPr>
          <w:highlight w:val="yellow"/>
        </w:rPr>
        <w:t xml:space="preserve">uplinkTxSwitching-OptionSupport2T2T-r17  </w:t>
      </w:r>
      <w:r w:rsidRPr="00FB7F07">
        <w:rPr>
          <w:color w:val="993366"/>
          <w:highlight w:val="yellow"/>
        </w:rPr>
        <w:t>ENUMERATED</w:t>
      </w:r>
      <w:r w:rsidRPr="00FB7F07">
        <w:rPr>
          <w:highlight w:val="yellow"/>
        </w:rPr>
        <w:t xml:space="preserve"> {switchedUL, dualUL, both}</w:t>
      </w:r>
      <w:r w:rsidRPr="00B55E3E">
        <w:t xml:space="preserve"> </w:t>
      </w:r>
      <w:r w:rsidRPr="00B55E3E">
        <w:rPr>
          <w:color w:val="993366"/>
        </w:rPr>
        <w:t>OPTIONAL</w:t>
      </w:r>
    </w:p>
    <w:p w14:paraId="058100E8" w14:textId="4A28949F" w:rsidR="00FB7F07" w:rsidRPr="00FB7F07" w:rsidRDefault="00FB7F07" w:rsidP="00FB7F07">
      <w:pPr>
        <w:pStyle w:val="PL"/>
        <w:snapToGrid w:val="0"/>
        <w:rPr>
          <w:snapToGrid w:val="0"/>
        </w:rPr>
      </w:pPr>
      <w:r w:rsidRPr="00B55E3E">
        <w:t>}</w:t>
      </w:r>
    </w:p>
    <w:p w14:paraId="3D47C95A" w14:textId="50BFAB6C" w:rsidR="00FB7F07" w:rsidRDefault="000070DC" w:rsidP="00DD14D2">
      <w:pPr>
        <w:spacing w:before="120" w:after="120"/>
      </w:pPr>
      <w:r>
        <w:rPr>
          <w:rFonts w:hint="eastAsia"/>
        </w:rPr>
        <w:t>F</w:t>
      </w:r>
      <w:r>
        <w:t xml:space="preserve">rom our perspective, the three alternatives provided in the RAN1 LS for reporting </w:t>
      </w:r>
      <w:r w:rsidR="00820501">
        <w:t>are all workable. However, the spec change effort for each alternative is different.</w:t>
      </w:r>
    </w:p>
    <w:p w14:paraId="64202586" w14:textId="4FF3D896" w:rsidR="00820501" w:rsidRDefault="00820501" w:rsidP="00DD14D2">
      <w:pPr>
        <w:spacing w:before="120" w:after="120"/>
      </w:pPr>
      <w:r>
        <w:rPr>
          <w:rFonts w:hint="eastAsia"/>
        </w:rPr>
        <w:t>F</w:t>
      </w:r>
      <w:r>
        <w:t xml:space="preserve">or Alt 1, </w:t>
      </w:r>
      <w:r w:rsidRPr="00820501">
        <w:t>supported UL Tx switching option</w:t>
      </w:r>
      <w:r>
        <w:t xml:space="preserve"> is exhaustedly reported for every band pair. Since </w:t>
      </w:r>
      <w:r w:rsidR="00D07646" w:rsidRPr="00D07646">
        <w:rPr>
          <w:i/>
        </w:rPr>
        <w:t>uplinkTxSwitching-OptionSupport</w:t>
      </w:r>
      <w:r>
        <w:t xml:space="preserve"> </w:t>
      </w:r>
      <w:r w:rsidR="00D07646">
        <w:t>can already be</w:t>
      </w:r>
      <w:r>
        <w:t xml:space="preserve"> reported for the band combination, this</w:t>
      </w:r>
      <w:r w:rsidRPr="00820501">
        <w:t xml:space="preserve"> </w:t>
      </w:r>
      <w:r>
        <w:t>alternative introduce some unnecessary redun</w:t>
      </w:r>
      <w:r w:rsidR="00D07646">
        <w:t>dancy in signaling.</w:t>
      </w:r>
    </w:p>
    <w:p w14:paraId="59CC35F3" w14:textId="42478377" w:rsidR="00D07646" w:rsidRDefault="00D07646" w:rsidP="00DD14D2">
      <w:pPr>
        <w:spacing w:before="120" w:after="120"/>
      </w:pPr>
      <w:r>
        <w:t xml:space="preserve">Alt 2 reuses the legacy signaling as baseline and only need to additionally report </w:t>
      </w:r>
      <w:r w:rsidRPr="00D07646">
        <w:t>supported band pair for concurrent transmission for the band combination</w:t>
      </w:r>
      <w:r>
        <w:t>, therefore the spec change may be easier.</w:t>
      </w:r>
    </w:p>
    <w:p w14:paraId="4A96CF37" w14:textId="7760A38E" w:rsidR="00D07646" w:rsidRDefault="00D07646" w:rsidP="00DD14D2">
      <w:pPr>
        <w:spacing w:before="120" w:after="120"/>
      </w:pPr>
      <w:r>
        <w:rPr>
          <w:rFonts w:hint="eastAsia"/>
        </w:rPr>
        <w:t>A</w:t>
      </w:r>
      <w:r>
        <w:t xml:space="preserve">lt 3 reduces some signaling redundancy compared to Alt 1, but it also needs to redefine the legacy </w:t>
      </w:r>
      <w:r w:rsidRPr="00D07646">
        <w:rPr>
          <w:i/>
        </w:rPr>
        <w:t>uplinkTxSwitching-OptionSupport</w:t>
      </w:r>
      <w:r>
        <w:t xml:space="preserve"> field as Alt 1.</w:t>
      </w:r>
    </w:p>
    <w:p w14:paraId="516F7CFD" w14:textId="39FD3784" w:rsidR="00D07646" w:rsidRDefault="00D07646" w:rsidP="00DD14D2">
      <w:pPr>
        <w:spacing w:before="120" w:after="120"/>
      </w:pPr>
      <w:r>
        <w:rPr>
          <w:rFonts w:hint="eastAsia"/>
        </w:rPr>
        <w:t>T</w:t>
      </w:r>
      <w:r>
        <w:t xml:space="preserve">herefore, we propose to adopt Alt 2 as the solution to report </w:t>
      </w:r>
      <w:r w:rsidRPr="00D07646">
        <w:t>the supported UL Tx switching option</w:t>
      </w:r>
      <w:r>
        <w:t>s for Rel-18 UL Tx switching.</w:t>
      </w:r>
    </w:p>
    <w:p w14:paraId="654F9792" w14:textId="2AC7156B" w:rsidR="006D082C" w:rsidRPr="00E14384" w:rsidRDefault="000070DC" w:rsidP="00DD14D2">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F</w:t>
      </w:r>
      <w:r w:rsidRPr="000070DC">
        <w:rPr>
          <w:rFonts w:ascii="Times New Roman" w:eastAsiaTheme="minorEastAsia" w:hAnsi="Times New Roman"/>
          <w:b/>
          <w:sz w:val="20"/>
          <w:szCs w:val="20"/>
        </w:rPr>
        <w:t>or UE capability reporting about the supported UL Tx switching options</w:t>
      </w:r>
      <w:r>
        <w:rPr>
          <w:rFonts w:ascii="Times New Roman" w:eastAsiaTheme="minorEastAsia" w:hAnsi="Times New Roman"/>
          <w:b/>
          <w:sz w:val="20"/>
          <w:szCs w:val="20"/>
        </w:rPr>
        <w:t>, the UE r</w:t>
      </w:r>
      <w:r w:rsidRPr="000070DC">
        <w:rPr>
          <w:rFonts w:ascii="Times New Roman" w:eastAsiaTheme="minorEastAsia" w:hAnsi="Times New Roman"/>
          <w:b/>
          <w:sz w:val="20"/>
          <w:szCs w:val="20"/>
        </w:rPr>
        <w:t>eport {switchedUL, dualUL, both} for the band combination and report supported band pair for concurrent transmission for the band combination</w:t>
      </w:r>
      <w:r w:rsidR="00C43551">
        <w:rPr>
          <w:rFonts w:ascii="Times New Roman" w:eastAsiaTheme="minorEastAsia" w:hAnsi="Times New Roman" w:hint="eastAsia"/>
          <w:b/>
          <w:sz w:val="20"/>
          <w:szCs w:val="20"/>
        </w:rPr>
        <w:t>.</w:t>
      </w:r>
    </w:p>
    <w:p w14:paraId="5AE05CE3" w14:textId="204A606F" w:rsidR="006D082C" w:rsidRDefault="00D07646" w:rsidP="00DD14D2">
      <w:pPr>
        <w:spacing w:before="120" w:after="120"/>
      </w:pPr>
      <w:r>
        <w:rPr>
          <w:rFonts w:hint="eastAsia"/>
        </w:rPr>
        <w:t>A</w:t>
      </w:r>
      <w:r>
        <w:t>s for the reporting of switching period, RAN4 is still working on down-selecting from the following options</w:t>
      </w:r>
      <w:r w:rsidR="00C43551">
        <w:t xml:space="preserve"> </w:t>
      </w:r>
      <w:r>
        <w:t>[</w:t>
      </w:r>
      <w:r w:rsidR="00C43551">
        <w:t>3</w:t>
      </w:r>
      <w:r>
        <w:t>], thus we suggest RAN2 to wait for RAN4’s progress:</w:t>
      </w:r>
    </w:p>
    <w:tbl>
      <w:tblPr>
        <w:tblStyle w:val="a7"/>
        <w:tblW w:w="0" w:type="auto"/>
        <w:tblLook w:val="04A0" w:firstRow="1" w:lastRow="0" w:firstColumn="1" w:lastColumn="0" w:noHBand="0" w:noVBand="1"/>
      </w:tblPr>
      <w:tblGrid>
        <w:gridCol w:w="9060"/>
      </w:tblGrid>
      <w:tr w:rsidR="00D07646" w14:paraId="3D4A6C33" w14:textId="77777777" w:rsidTr="00D07646">
        <w:tc>
          <w:tcPr>
            <w:tcW w:w="9060" w:type="dxa"/>
          </w:tcPr>
          <w:p w14:paraId="6B25AE13" w14:textId="77777777" w:rsidR="00D07646" w:rsidRPr="00F07A8A" w:rsidRDefault="00D07646" w:rsidP="00D07646">
            <w:pPr>
              <w:spacing w:afterLines="50" w:after="156"/>
              <w:rPr>
                <w:rFonts w:ascii="Arial" w:eastAsia="宋体" w:hAnsi="Arial" w:cs="Arial"/>
                <w:b/>
                <w:bCs/>
                <w:iCs/>
              </w:rPr>
            </w:pPr>
            <w:r>
              <w:rPr>
                <w:rFonts w:ascii="Arial" w:eastAsia="宋体" w:hAnsi="Arial" w:cs="Arial" w:hint="eastAsia"/>
                <w:b/>
                <w:bCs/>
                <w:iCs/>
              </w:rPr>
              <w:t>Issue 1: L</w:t>
            </w:r>
            <w:r w:rsidRPr="00F07A8A">
              <w:rPr>
                <w:rFonts w:ascii="Arial" w:eastAsia="宋体" w:hAnsi="Arial" w:cs="Arial" w:hint="eastAsia"/>
                <w:b/>
                <w:bCs/>
                <w:iCs/>
              </w:rPr>
              <w:t>ength of switchin</w:t>
            </w:r>
            <w:r>
              <w:rPr>
                <w:rFonts w:ascii="Arial" w:eastAsia="宋体" w:hAnsi="Arial" w:cs="Arial" w:hint="eastAsia"/>
                <w:b/>
                <w:bCs/>
                <w:iCs/>
              </w:rPr>
              <w:t>g period</w:t>
            </w:r>
          </w:p>
          <w:p w14:paraId="1F940F08" w14:textId="77777777" w:rsidR="00D07646" w:rsidRDefault="00D07646" w:rsidP="00D07646">
            <w:pPr>
              <w:tabs>
                <w:tab w:val="center" w:pos="4153"/>
                <w:tab w:val="right" w:pos="8306"/>
              </w:tabs>
              <w:snapToGrid w:val="0"/>
              <w:spacing w:after="120"/>
              <w:rPr>
                <w:rFonts w:ascii="Arial" w:eastAsia="宋体" w:hAnsi="Arial" w:cs="Arial"/>
                <w:bCs/>
                <w:iCs/>
              </w:rPr>
            </w:pPr>
            <w:r w:rsidRPr="00343C93">
              <w:rPr>
                <w:rFonts w:ascii="Arial" w:eastAsia="宋体" w:hAnsi="Arial" w:cs="Arial"/>
                <w:bCs/>
                <w:iCs/>
              </w:rPr>
              <w:t xml:space="preserve">For the same band pair, </w:t>
            </w:r>
            <w:r w:rsidRPr="00343C93">
              <w:rPr>
                <w:rFonts w:ascii="Arial" w:eastAsia="宋体" w:hAnsi="Arial" w:cs="Arial" w:hint="eastAsia"/>
                <w:bCs/>
                <w:iCs/>
              </w:rPr>
              <w:t>RAN4 discussed whether the same or a d</w:t>
            </w:r>
            <w:r w:rsidRPr="00343C93">
              <w:rPr>
                <w:rFonts w:ascii="Arial" w:eastAsia="宋体" w:hAnsi="Arial" w:cs="Arial"/>
                <w:bCs/>
                <w:iCs/>
              </w:rPr>
              <w:t>ifferent</w:t>
            </w:r>
            <w:r w:rsidRPr="00343C93">
              <w:rPr>
                <w:rFonts w:ascii="Arial" w:eastAsia="宋体" w:hAnsi="Arial" w:cs="Arial" w:hint="eastAsia"/>
                <w:bCs/>
                <w:iCs/>
              </w:rPr>
              <w:t xml:space="preserve"> value can be reported for </w:t>
            </w:r>
            <w:r w:rsidRPr="00343C93">
              <w:rPr>
                <w:rFonts w:ascii="Arial" w:eastAsia="宋体" w:hAnsi="Arial" w:cs="Arial"/>
                <w:bCs/>
                <w:iCs/>
              </w:rPr>
              <w:t xml:space="preserve">the specific </w:t>
            </w:r>
            <w:r w:rsidRPr="00343C93">
              <w:rPr>
                <w:rFonts w:ascii="Arial" w:eastAsia="宋体" w:hAnsi="Arial" w:cs="Arial" w:hint="eastAsia"/>
                <w:bCs/>
                <w:iCs/>
              </w:rPr>
              <w:t xml:space="preserve">band pair </w:t>
            </w:r>
            <w:r w:rsidRPr="00343C93">
              <w:rPr>
                <w:rFonts w:ascii="Arial" w:eastAsia="宋体" w:hAnsi="Arial" w:cs="Arial"/>
                <w:bCs/>
                <w:iCs/>
              </w:rPr>
              <w:t>involved</w:t>
            </w:r>
            <w:r w:rsidRPr="00343C93">
              <w:rPr>
                <w:rFonts w:ascii="Arial" w:eastAsia="宋体" w:hAnsi="Arial" w:cs="Arial" w:hint="eastAsia"/>
                <w:bCs/>
                <w:iCs/>
              </w:rPr>
              <w:t xml:space="preserve"> in </w:t>
            </w:r>
            <w:r w:rsidRPr="00343C93">
              <w:rPr>
                <w:rFonts w:ascii="Arial" w:eastAsia="宋体" w:hAnsi="Arial" w:cs="Arial"/>
                <w:bCs/>
                <w:iCs/>
              </w:rPr>
              <w:t>Tx switching across 3 or 4 bands in Rel-18</w:t>
            </w:r>
            <w:r w:rsidRPr="00343C93">
              <w:rPr>
                <w:rFonts w:ascii="Arial" w:eastAsia="宋体" w:hAnsi="Arial" w:cs="Arial" w:hint="eastAsia"/>
                <w:bCs/>
                <w:iCs/>
              </w:rPr>
              <w:t xml:space="preserve"> compared to </w:t>
            </w:r>
            <w:r w:rsidRPr="00343C93">
              <w:rPr>
                <w:rFonts w:ascii="Arial" w:eastAsia="宋体" w:hAnsi="Arial" w:cs="Arial"/>
                <w:bCs/>
                <w:iCs/>
              </w:rPr>
              <w:t>Tx switching across 2 bands specified in Rel-16/17</w:t>
            </w:r>
            <w:r w:rsidRPr="00343C93">
              <w:rPr>
                <w:rFonts w:ascii="Arial" w:eastAsia="宋体" w:hAnsi="Arial" w:cs="Arial" w:hint="eastAsia"/>
                <w:bCs/>
                <w:iCs/>
              </w:rPr>
              <w:t xml:space="preserve">, and </w:t>
            </w:r>
            <w:r>
              <w:rPr>
                <w:rFonts w:ascii="Arial" w:eastAsia="宋体" w:hAnsi="Arial" w:cs="Arial" w:hint="eastAsia"/>
                <w:bCs/>
                <w:iCs/>
              </w:rPr>
              <w:t>will further discuss based on the following options</w:t>
            </w:r>
            <w:r w:rsidRPr="00343C93">
              <w:rPr>
                <w:rFonts w:ascii="Arial" w:eastAsia="宋体" w:hAnsi="Arial" w:cs="Arial" w:hint="eastAsia"/>
                <w:bCs/>
                <w:iCs/>
              </w:rPr>
              <w:t>:</w:t>
            </w:r>
          </w:p>
          <w:p w14:paraId="0E1170C3" w14:textId="77777777" w:rsidR="00D07646" w:rsidRPr="00867AD8" w:rsidRDefault="00D07646" w:rsidP="00D07646">
            <w:pPr>
              <w:widowControl/>
              <w:numPr>
                <w:ilvl w:val="0"/>
                <w:numId w:val="19"/>
              </w:numPr>
              <w:tabs>
                <w:tab w:val="num" w:pos="426"/>
                <w:tab w:val="num" w:pos="1440"/>
                <w:tab w:val="center" w:pos="4153"/>
                <w:tab w:val="right" w:pos="8306"/>
              </w:tabs>
              <w:snapToGrid w:val="0"/>
              <w:spacing w:after="120"/>
              <w:ind w:leftChars="71" w:left="422" w:hangingChars="140" w:hanging="280"/>
              <w:jc w:val="left"/>
              <w:rPr>
                <w:rFonts w:ascii="Arial" w:eastAsia="宋体" w:hAnsi="Arial" w:cs="Arial"/>
                <w:bCs/>
                <w:iCs/>
              </w:rPr>
            </w:pPr>
            <w:r w:rsidRPr="00867AD8">
              <w:rPr>
                <w:rFonts w:ascii="Arial" w:eastAsia="宋体" w:hAnsi="Arial" w:cs="Arial" w:hint="eastAsia"/>
                <w:bCs/>
                <w:iCs/>
              </w:rPr>
              <w:t xml:space="preserve">Option 1: </w:t>
            </w:r>
            <w:r w:rsidRPr="00867AD8">
              <w:rPr>
                <w:rFonts w:ascii="Arial" w:eastAsia="宋体" w:hAnsi="Arial" w:cs="Arial"/>
                <w:bCs/>
                <w:iCs/>
              </w:rPr>
              <w:t>Reuse the same switching period for each band pair as UE reported in Rel-16/17, i.e., UE does not need to report new or larger switching period per band pair for Rel-18.</w:t>
            </w:r>
          </w:p>
          <w:p w14:paraId="4E1FADEC" w14:textId="77777777" w:rsidR="00D07646" w:rsidRPr="009A3CEF" w:rsidRDefault="00D07646" w:rsidP="00D07646">
            <w:pPr>
              <w:widowControl/>
              <w:numPr>
                <w:ilvl w:val="1"/>
                <w:numId w:val="19"/>
              </w:numPr>
              <w:tabs>
                <w:tab w:val="num" w:pos="426"/>
                <w:tab w:val="center" w:pos="851"/>
                <w:tab w:val="right" w:pos="8306"/>
              </w:tabs>
              <w:adjustRightInd w:val="0"/>
              <w:snapToGrid w:val="0"/>
              <w:spacing w:after="120"/>
              <w:ind w:hanging="273"/>
              <w:jc w:val="left"/>
              <w:rPr>
                <w:rFonts w:ascii="Arial" w:eastAsia="宋体" w:hAnsi="Arial" w:cs="Arial"/>
                <w:bCs/>
                <w:iCs/>
              </w:rPr>
            </w:pPr>
            <w:r w:rsidRPr="009A3CEF">
              <w:rPr>
                <w:rFonts w:ascii="Arial" w:eastAsia="宋体" w:hAnsi="Arial" w:cs="Arial"/>
                <w:bCs/>
                <w:iCs/>
              </w:rPr>
              <w:t>Note: with the understanding that the switching period in Rel-18 could be different for different band pairs, according to the granularity of per band pair per BC agreed in the last meeting.</w:t>
            </w:r>
          </w:p>
          <w:p w14:paraId="306022B5" w14:textId="77777777" w:rsidR="00D07646" w:rsidRPr="009A3CEF" w:rsidRDefault="00D07646" w:rsidP="00D07646">
            <w:pPr>
              <w:widowControl/>
              <w:numPr>
                <w:ilvl w:val="0"/>
                <w:numId w:val="19"/>
              </w:numPr>
              <w:tabs>
                <w:tab w:val="num" w:pos="426"/>
                <w:tab w:val="num" w:pos="1440"/>
                <w:tab w:val="center" w:pos="4153"/>
                <w:tab w:val="right" w:pos="8306"/>
              </w:tabs>
              <w:snapToGrid w:val="0"/>
              <w:spacing w:after="120"/>
              <w:ind w:leftChars="71" w:left="422" w:hangingChars="140" w:hanging="280"/>
              <w:jc w:val="left"/>
              <w:rPr>
                <w:rFonts w:ascii="Arial" w:eastAsia="宋体" w:hAnsi="Arial" w:cs="Arial"/>
                <w:bCs/>
                <w:iCs/>
              </w:rPr>
            </w:pPr>
            <w:r>
              <w:rPr>
                <w:rFonts w:ascii="Arial" w:eastAsia="宋体" w:hAnsi="Arial" w:cs="Arial" w:hint="eastAsia"/>
                <w:bCs/>
                <w:iCs/>
              </w:rPr>
              <w:t>Option 2</w:t>
            </w:r>
            <w:r w:rsidRPr="009A3CEF">
              <w:rPr>
                <w:rFonts w:ascii="Arial" w:eastAsia="宋体" w:hAnsi="Arial" w:cs="Arial" w:hint="eastAsia"/>
                <w:bCs/>
                <w:iCs/>
              </w:rPr>
              <w:t>:</w:t>
            </w:r>
            <w:r w:rsidRPr="009A3CEF">
              <w:rPr>
                <w:rFonts w:ascii="Arial" w:eastAsia="宋体" w:hAnsi="Arial" w:cs="Arial"/>
                <w:bCs/>
                <w:iCs/>
              </w:rPr>
              <w:t xml:space="preserve"> Although the set of switching periods is the same as in Rel-16/17, a different value can be reported for each band pair in Rel-18 band combination with 3/4 bands. </w:t>
            </w:r>
          </w:p>
          <w:p w14:paraId="551FBAB4" w14:textId="644A4414" w:rsidR="00D07646" w:rsidRPr="00D07646" w:rsidRDefault="00D07646" w:rsidP="00A2414B">
            <w:pPr>
              <w:widowControl/>
              <w:numPr>
                <w:ilvl w:val="0"/>
                <w:numId w:val="19"/>
              </w:numPr>
              <w:tabs>
                <w:tab w:val="num" w:pos="426"/>
                <w:tab w:val="num" w:pos="1440"/>
                <w:tab w:val="center" w:pos="4153"/>
                <w:tab w:val="right" w:pos="8306"/>
              </w:tabs>
              <w:snapToGrid w:val="0"/>
              <w:spacing w:after="120"/>
              <w:ind w:leftChars="71" w:left="422" w:hangingChars="140" w:hanging="280"/>
              <w:jc w:val="left"/>
              <w:rPr>
                <w:rFonts w:eastAsia="宋体"/>
                <w:sz w:val="21"/>
                <w:szCs w:val="21"/>
              </w:rPr>
            </w:pPr>
            <w:r w:rsidRPr="002C18D7">
              <w:rPr>
                <w:rFonts w:ascii="Arial" w:eastAsia="宋体" w:hAnsi="Arial" w:cs="Arial" w:hint="eastAsia"/>
                <w:bCs/>
                <w:iCs/>
              </w:rPr>
              <w:lastRenderedPageBreak/>
              <w:t>Option 3: Option 1 for switchedUL, and O</w:t>
            </w:r>
            <w:r w:rsidRPr="002C18D7">
              <w:rPr>
                <w:rFonts w:ascii="Arial" w:eastAsia="宋体" w:hAnsi="Arial" w:cs="Arial"/>
                <w:bCs/>
                <w:iCs/>
              </w:rPr>
              <w:t>p</w:t>
            </w:r>
            <w:r w:rsidRPr="002C18D7">
              <w:rPr>
                <w:rFonts w:ascii="Arial" w:eastAsia="宋体" w:hAnsi="Arial" w:cs="Arial" w:hint="eastAsia"/>
                <w:bCs/>
                <w:iCs/>
              </w:rPr>
              <w:t>tion 2 for dualUL.</w:t>
            </w:r>
          </w:p>
        </w:tc>
      </w:tr>
    </w:tbl>
    <w:p w14:paraId="1C8B6871" w14:textId="7515F9BE" w:rsidR="00D07646" w:rsidRPr="00E14384" w:rsidRDefault="00D07646" w:rsidP="00C43551">
      <w:pPr>
        <w:pStyle w:val="aa"/>
        <w:numPr>
          <w:ilvl w:val="0"/>
          <w:numId w:val="6"/>
        </w:numPr>
        <w:spacing w:before="120" w:after="120"/>
        <w:ind w:left="1701" w:firstLineChars="0" w:hanging="1701"/>
        <w:rPr>
          <w:rFonts w:ascii="Times New Roman" w:eastAsiaTheme="minorEastAsia" w:hAnsi="Times New Roman"/>
          <w:b/>
          <w:sz w:val="20"/>
          <w:szCs w:val="20"/>
        </w:rPr>
      </w:pPr>
      <w:r w:rsidRPr="00D07646">
        <w:rPr>
          <w:rFonts w:ascii="Times New Roman" w:eastAsiaTheme="minorEastAsia" w:hAnsi="Times New Roman"/>
          <w:b/>
          <w:sz w:val="20"/>
          <w:szCs w:val="20"/>
        </w:rPr>
        <w:lastRenderedPageBreak/>
        <w:t xml:space="preserve">Wait for RAN4 on </w:t>
      </w:r>
      <w:r>
        <w:rPr>
          <w:rFonts w:ascii="Times New Roman" w:eastAsiaTheme="minorEastAsia" w:hAnsi="Times New Roman" w:hint="eastAsia"/>
          <w:b/>
          <w:sz w:val="20"/>
          <w:szCs w:val="20"/>
        </w:rPr>
        <w:t>fina</w:t>
      </w:r>
      <w:r>
        <w:rPr>
          <w:rFonts w:ascii="Times New Roman" w:eastAsiaTheme="minorEastAsia" w:hAnsi="Times New Roman"/>
          <w:b/>
          <w:sz w:val="20"/>
          <w:szCs w:val="20"/>
        </w:rPr>
        <w:t>l decision about l</w:t>
      </w:r>
      <w:r w:rsidRPr="00D07646">
        <w:rPr>
          <w:rFonts w:ascii="Times New Roman" w:eastAsiaTheme="minorEastAsia" w:hAnsi="Times New Roman"/>
          <w:b/>
          <w:sz w:val="20"/>
          <w:szCs w:val="20"/>
        </w:rPr>
        <w:t>ength of switching period</w:t>
      </w:r>
      <w:r w:rsidR="00C43551">
        <w:rPr>
          <w:rFonts w:ascii="Times New Roman" w:eastAsiaTheme="minorEastAsia" w:hAnsi="Times New Roman"/>
          <w:b/>
          <w:sz w:val="20"/>
          <w:szCs w:val="20"/>
        </w:rPr>
        <w:t xml:space="preserve"> before RAN2 discussing switching period signaling</w:t>
      </w:r>
      <w:r>
        <w:rPr>
          <w:rFonts w:ascii="Times New Roman" w:eastAsiaTheme="minorEastAsia" w:hAnsi="Times New Roman"/>
          <w:b/>
          <w:sz w:val="20"/>
          <w:szCs w:val="20"/>
        </w:rPr>
        <w:t>.</w:t>
      </w:r>
    </w:p>
    <w:p w14:paraId="5E3F25A9" w14:textId="06B2D091" w:rsidR="00D07646" w:rsidRDefault="00C43551" w:rsidP="00C43551">
      <w:pPr>
        <w:spacing w:before="120" w:after="120"/>
      </w:pPr>
      <w:r>
        <w:rPr>
          <w:rFonts w:hint="eastAsia"/>
        </w:rPr>
        <w:t>A</w:t>
      </w:r>
      <w:r>
        <w:t xml:space="preserve">s for DL interruption, RAN4 has agreed to reuse the </w:t>
      </w:r>
      <w:r>
        <w:rPr>
          <w:rFonts w:hint="eastAsia"/>
        </w:rPr>
        <w:t>Re</w:t>
      </w:r>
      <w:r>
        <w:t>l-16/17 agreement</w:t>
      </w:r>
      <w:r w:rsidR="00010772">
        <w:t xml:space="preserve"> [3]</w:t>
      </w:r>
      <w:r>
        <w:t>:</w:t>
      </w:r>
    </w:p>
    <w:tbl>
      <w:tblPr>
        <w:tblStyle w:val="a7"/>
        <w:tblW w:w="0" w:type="auto"/>
        <w:tblLook w:val="04A0" w:firstRow="1" w:lastRow="0" w:firstColumn="1" w:lastColumn="0" w:noHBand="0" w:noVBand="1"/>
      </w:tblPr>
      <w:tblGrid>
        <w:gridCol w:w="9060"/>
      </w:tblGrid>
      <w:tr w:rsidR="00C43551" w14:paraId="57E62669" w14:textId="77777777" w:rsidTr="00C43551">
        <w:tc>
          <w:tcPr>
            <w:tcW w:w="9060" w:type="dxa"/>
          </w:tcPr>
          <w:p w14:paraId="335C8148" w14:textId="77777777" w:rsidR="00C43551" w:rsidRPr="00F27DC7" w:rsidRDefault="00C43551" w:rsidP="00C43551">
            <w:pPr>
              <w:spacing w:afterLines="50" w:after="156"/>
              <w:rPr>
                <w:rFonts w:ascii="Arial" w:eastAsia="宋体" w:hAnsi="Arial" w:cs="Arial"/>
                <w:b/>
                <w:bCs/>
                <w:iCs/>
              </w:rPr>
            </w:pPr>
            <w:r>
              <w:rPr>
                <w:rFonts w:ascii="Arial" w:eastAsia="宋体" w:hAnsi="Arial" w:cs="Arial" w:hint="eastAsia"/>
                <w:b/>
                <w:bCs/>
                <w:iCs/>
              </w:rPr>
              <w:t xml:space="preserve">Issue 5: </w:t>
            </w:r>
            <w:r w:rsidRPr="00F27DC7">
              <w:rPr>
                <w:rFonts w:ascii="Arial" w:eastAsia="宋体" w:hAnsi="Arial" w:cs="Arial" w:hint="eastAsia"/>
                <w:b/>
                <w:bCs/>
                <w:iCs/>
              </w:rPr>
              <w:t>A</w:t>
            </w:r>
            <w:r w:rsidRPr="00F27DC7">
              <w:rPr>
                <w:rFonts w:ascii="Arial" w:eastAsia="宋体" w:hAnsi="Arial" w:cs="Arial"/>
                <w:b/>
                <w:bCs/>
                <w:iCs/>
              </w:rPr>
              <w:t>pplicability of DL interruption</w:t>
            </w:r>
          </w:p>
          <w:p w14:paraId="7ED879A6" w14:textId="77777777" w:rsidR="00C43551" w:rsidRPr="00F27DC7" w:rsidRDefault="00C43551" w:rsidP="00C43551">
            <w:pPr>
              <w:tabs>
                <w:tab w:val="center" w:pos="4153"/>
                <w:tab w:val="right" w:pos="8306"/>
              </w:tabs>
              <w:snapToGrid w:val="0"/>
              <w:spacing w:after="120"/>
              <w:rPr>
                <w:rFonts w:eastAsia="宋体"/>
                <w:sz w:val="21"/>
              </w:rPr>
            </w:pPr>
            <w:r>
              <w:rPr>
                <w:rFonts w:ascii="Arial" w:eastAsia="宋体" w:hAnsi="Arial" w:cs="Arial" w:hint="eastAsia"/>
                <w:bCs/>
                <w:iCs/>
              </w:rPr>
              <w:t>In general, R</w:t>
            </w:r>
            <w:r>
              <w:rPr>
                <w:rFonts w:ascii="Arial" w:eastAsia="宋体" w:hAnsi="Arial" w:cs="Arial"/>
                <w:bCs/>
                <w:iCs/>
              </w:rPr>
              <w:t xml:space="preserve">AN4 agreed to reuse the Rel-16/17 </w:t>
            </w:r>
            <w:r>
              <w:rPr>
                <w:rFonts w:ascii="Arial" w:eastAsia="宋体" w:hAnsi="Arial" w:cs="Arial" w:hint="eastAsia"/>
                <w:bCs/>
                <w:iCs/>
              </w:rPr>
              <w:t xml:space="preserve">agreement, and reached the following </w:t>
            </w:r>
            <w:r>
              <w:rPr>
                <w:rFonts w:ascii="Arial" w:eastAsia="宋体" w:hAnsi="Arial" w:cs="Arial"/>
                <w:bCs/>
                <w:iCs/>
              </w:rPr>
              <w:t>agreement</w:t>
            </w:r>
            <w:r>
              <w:rPr>
                <w:rFonts w:ascii="Arial" w:eastAsia="宋体" w:hAnsi="Arial" w:cs="Arial" w:hint="eastAsia"/>
                <w:bCs/>
                <w:iCs/>
              </w:rPr>
              <w:t>s:</w:t>
            </w:r>
          </w:p>
          <w:p w14:paraId="51BFD4FB" w14:textId="77777777" w:rsidR="00C43551" w:rsidRPr="00F27DC7" w:rsidRDefault="00C43551" w:rsidP="00C43551">
            <w:pPr>
              <w:widowControl/>
              <w:numPr>
                <w:ilvl w:val="0"/>
                <w:numId w:val="19"/>
              </w:numPr>
              <w:tabs>
                <w:tab w:val="num" w:pos="426"/>
                <w:tab w:val="num" w:pos="484"/>
                <w:tab w:val="num" w:pos="709"/>
                <w:tab w:val="num" w:pos="1440"/>
                <w:tab w:val="center" w:pos="4153"/>
                <w:tab w:val="right" w:pos="8306"/>
              </w:tabs>
              <w:snapToGrid w:val="0"/>
              <w:spacing w:after="120"/>
              <w:ind w:leftChars="71" w:left="422" w:hangingChars="140" w:hanging="280"/>
              <w:jc w:val="left"/>
              <w:rPr>
                <w:rFonts w:ascii="Arial" w:eastAsia="宋体" w:hAnsi="Arial" w:cs="Arial"/>
                <w:bCs/>
                <w:iCs/>
              </w:rPr>
            </w:pPr>
            <w:r w:rsidRPr="00F27DC7">
              <w:rPr>
                <w:rFonts w:ascii="Arial" w:eastAsia="宋体" w:hAnsi="Arial" w:cs="Arial"/>
                <w:bCs/>
                <w:iCs/>
              </w:rPr>
              <w:t>For</w:t>
            </w:r>
            <w:r>
              <w:rPr>
                <w:rFonts w:ascii="Arial" w:eastAsia="宋体" w:hAnsi="Arial" w:cs="Arial" w:hint="eastAsia"/>
                <w:bCs/>
                <w:iCs/>
              </w:rPr>
              <w:t xml:space="preserve"> </w:t>
            </w:r>
            <w:r w:rsidRPr="00F27DC7">
              <w:rPr>
                <w:rFonts w:ascii="Arial" w:eastAsia="宋体" w:hAnsi="Arial" w:cs="Arial"/>
                <w:bCs/>
                <w:iCs/>
              </w:rPr>
              <w:t>combinations of SUL+TDD and TDD+TDD CA with the same UL-DL pattern, DL interruption is not required.</w:t>
            </w:r>
          </w:p>
          <w:p w14:paraId="475A8ECE" w14:textId="77777777" w:rsidR="00C43551" w:rsidRPr="00F27DC7" w:rsidRDefault="00C43551" w:rsidP="00C43551">
            <w:pPr>
              <w:widowControl/>
              <w:numPr>
                <w:ilvl w:val="0"/>
                <w:numId w:val="19"/>
              </w:numPr>
              <w:tabs>
                <w:tab w:val="num" w:pos="426"/>
                <w:tab w:val="num" w:pos="484"/>
                <w:tab w:val="num" w:pos="709"/>
                <w:tab w:val="num" w:pos="1440"/>
                <w:tab w:val="center" w:pos="4153"/>
                <w:tab w:val="right" w:pos="8306"/>
              </w:tabs>
              <w:snapToGrid w:val="0"/>
              <w:spacing w:after="120"/>
              <w:ind w:leftChars="71" w:left="422" w:hangingChars="140" w:hanging="280"/>
              <w:jc w:val="left"/>
              <w:rPr>
                <w:rFonts w:ascii="Arial" w:eastAsia="宋体" w:hAnsi="Arial" w:cs="Arial"/>
                <w:bCs/>
                <w:iCs/>
              </w:rPr>
            </w:pPr>
            <w:r w:rsidRPr="00F27DC7">
              <w:rPr>
                <w:rFonts w:ascii="Arial" w:eastAsia="宋体" w:hAnsi="Arial" w:cs="Arial"/>
                <w:bCs/>
                <w:iCs/>
              </w:rPr>
              <w:t>For the other duplex mode combinations, define different capabilities for UEs with and without DL interruption.</w:t>
            </w:r>
          </w:p>
          <w:p w14:paraId="234CE47C" w14:textId="081E49F8" w:rsidR="00C43551" w:rsidRPr="00C43551" w:rsidRDefault="00C43551" w:rsidP="00A2414B">
            <w:pPr>
              <w:widowControl/>
              <w:numPr>
                <w:ilvl w:val="1"/>
                <w:numId w:val="19"/>
              </w:numPr>
              <w:tabs>
                <w:tab w:val="num" w:pos="426"/>
                <w:tab w:val="center" w:pos="851"/>
                <w:tab w:val="right" w:pos="8306"/>
              </w:tabs>
              <w:adjustRightInd w:val="0"/>
              <w:snapToGrid w:val="0"/>
              <w:spacing w:after="120"/>
              <w:ind w:hanging="273"/>
              <w:jc w:val="left"/>
              <w:rPr>
                <w:rFonts w:ascii="Arial" w:eastAsia="宋体" w:hAnsi="Arial" w:cs="Arial"/>
                <w:bCs/>
                <w:iCs/>
              </w:rPr>
            </w:pPr>
            <w:r w:rsidRPr="00F27DC7">
              <w:rPr>
                <w:rFonts w:ascii="Arial" w:eastAsia="宋体" w:hAnsi="Arial" w:cs="Arial"/>
                <w:bCs/>
                <w:iCs/>
              </w:rPr>
              <w:t>UE capability is defined as per band per band combination for each band pair supporting UL Tx switching.</w:t>
            </w:r>
          </w:p>
        </w:tc>
      </w:tr>
    </w:tbl>
    <w:p w14:paraId="1AB05842" w14:textId="7FAF209C" w:rsidR="00C43551" w:rsidRDefault="00C43551" w:rsidP="00A2414B">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confirm reusing </w:t>
      </w:r>
      <w:r w:rsidRPr="00C43551">
        <w:rPr>
          <w:rFonts w:ascii="Times New Roman" w:eastAsiaTheme="minorEastAsia" w:hAnsi="Times New Roman"/>
          <w:b/>
          <w:sz w:val="20"/>
          <w:szCs w:val="20"/>
        </w:rPr>
        <w:t>Rel-16/17 agreement</w:t>
      </w:r>
      <w:r>
        <w:rPr>
          <w:rFonts w:ascii="Times New Roman" w:eastAsiaTheme="minorEastAsia" w:hAnsi="Times New Roman"/>
          <w:b/>
          <w:sz w:val="20"/>
          <w:szCs w:val="20"/>
        </w:rPr>
        <w:t xml:space="preserve"> for DL interruption.</w:t>
      </w:r>
    </w:p>
    <w:p w14:paraId="7C83037E" w14:textId="08767480" w:rsidR="00010772" w:rsidRDefault="00010772" w:rsidP="005763D8">
      <w:pPr>
        <w:spacing w:before="120" w:after="120"/>
      </w:pPr>
      <w:r>
        <w:rPr>
          <w:rFonts w:hint="eastAsia"/>
        </w:rPr>
        <w:t>A</w:t>
      </w:r>
      <w:r>
        <w:t>s for UL-MIMO coherence, RAN4 has the following agreement [3]:</w:t>
      </w:r>
    </w:p>
    <w:tbl>
      <w:tblPr>
        <w:tblStyle w:val="a7"/>
        <w:tblW w:w="0" w:type="auto"/>
        <w:tblLook w:val="04A0" w:firstRow="1" w:lastRow="0" w:firstColumn="1" w:lastColumn="0" w:noHBand="0" w:noVBand="1"/>
      </w:tblPr>
      <w:tblGrid>
        <w:gridCol w:w="9060"/>
      </w:tblGrid>
      <w:tr w:rsidR="00010772" w14:paraId="7498EC17" w14:textId="77777777" w:rsidTr="00010772">
        <w:tc>
          <w:tcPr>
            <w:tcW w:w="9060" w:type="dxa"/>
          </w:tcPr>
          <w:p w14:paraId="34CE978E" w14:textId="0F08C72D" w:rsidR="00010772" w:rsidRPr="00010772" w:rsidRDefault="00010772" w:rsidP="00010772">
            <w:pPr>
              <w:widowControl/>
              <w:numPr>
                <w:ilvl w:val="0"/>
                <w:numId w:val="19"/>
              </w:numPr>
              <w:tabs>
                <w:tab w:val="num" w:pos="426"/>
                <w:tab w:val="num" w:pos="484"/>
                <w:tab w:val="num" w:pos="709"/>
                <w:tab w:val="num" w:pos="851"/>
                <w:tab w:val="num" w:pos="1125"/>
                <w:tab w:val="num" w:pos="1440"/>
                <w:tab w:val="center" w:pos="4153"/>
                <w:tab w:val="right" w:pos="8306"/>
              </w:tabs>
              <w:snapToGrid w:val="0"/>
              <w:spacing w:after="120"/>
              <w:ind w:leftChars="71" w:left="422" w:hangingChars="140" w:hanging="280"/>
              <w:jc w:val="left"/>
              <w:rPr>
                <w:rFonts w:ascii="Arial" w:eastAsia="宋体" w:hAnsi="Arial" w:cs="Arial"/>
                <w:bCs/>
                <w:iCs/>
                <w:highlight w:val="yellow"/>
              </w:rPr>
            </w:pPr>
            <w:r w:rsidRPr="002B1575">
              <w:rPr>
                <w:rFonts w:ascii="Arial" w:eastAsia="宋体" w:hAnsi="Arial" w:cs="Arial" w:hint="eastAsia"/>
                <w:bCs/>
                <w:iCs/>
                <w:highlight w:val="yellow"/>
              </w:rPr>
              <w:t xml:space="preserve">It is up to RAN2 discussion on whether the Rel-17 </w:t>
            </w:r>
            <w:r w:rsidRPr="002B1575">
              <w:rPr>
                <w:rFonts w:ascii="Arial" w:eastAsia="宋体" w:hAnsi="Arial" w:cs="Arial"/>
                <w:bCs/>
                <w:iCs/>
                <w:highlight w:val="yellow"/>
              </w:rPr>
              <w:t xml:space="preserve">per band per BC </w:t>
            </w:r>
            <w:r w:rsidRPr="002B1575">
              <w:rPr>
                <w:rFonts w:ascii="Arial" w:eastAsia="宋体" w:hAnsi="Arial" w:cs="Arial" w:hint="eastAsia"/>
                <w:bCs/>
                <w:iCs/>
                <w:highlight w:val="yellow"/>
              </w:rPr>
              <w:t xml:space="preserve">signalling on </w:t>
            </w:r>
            <w:r w:rsidRPr="002B1575">
              <w:rPr>
                <w:rFonts w:ascii="Arial" w:eastAsia="宋体" w:hAnsi="Arial" w:cs="Arial"/>
                <w:bCs/>
                <w:iCs/>
                <w:highlight w:val="yellow"/>
              </w:rPr>
              <w:t>UL-MIMO coherence capability</w:t>
            </w:r>
            <w:r w:rsidRPr="002B1575">
              <w:rPr>
                <w:rFonts w:ascii="Arial" w:eastAsia="宋体" w:hAnsi="Arial" w:cs="Arial" w:hint="eastAsia"/>
                <w:bCs/>
                <w:iCs/>
                <w:highlight w:val="yellow"/>
              </w:rPr>
              <w:t xml:space="preserve"> for </w:t>
            </w:r>
            <w:r w:rsidRPr="002B1575">
              <w:rPr>
                <w:rFonts w:ascii="Arial" w:eastAsia="宋体" w:hAnsi="Arial" w:cs="Arial"/>
                <w:bCs/>
                <w:iCs/>
                <w:highlight w:val="yellow"/>
              </w:rPr>
              <w:t xml:space="preserve">2Tx-2Tx </w:t>
            </w:r>
            <w:r w:rsidRPr="002B1575">
              <w:rPr>
                <w:rFonts w:ascii="Arial" w:eastAsia="宋体" w:hAnsi="Arial" w:cs="Arial" w:hint="eastAsia"/>
                <w:bCs/>
                <w:iCs/>
                <w:highlight w:val="yellow"/>
              </w:rPr>
              <w:t>switching can be reused for Rel-18 Tx switching.</w:t>
            </w:r>
          </w:p>
        </w:tc>
      </w:tr>
    </w:tbl>
    <w:p w14:paraId="223043D0" w14:textId="06DDE553" w:rsidR="00010772" w:rsidRPr="005763D8" w:rsidRDefault="005763D8" w:rsidP="005763D8">
      <w:pPr>
        <w:spacing w:before="120" w:after="120"/>
      </w:pPr>
      <w:r>
        <w:rPr>
          <w:rFonts w:hint="eastAsia"/>
        </w:rPr>
        <w:t>I</w:t>
      </w:r>
      <w:r>
        <w:t>n Rel-17</w:t>
      </w:r>
      <w:r>
        <w:rPr>
          <w:rFonts w:hint="eastAsia"/>
        </w:rPr>
        <w:t>,</w:t>
      </w:r>
      <w:r>
        <w:t xml:space="preserve"> </w:t>
      </w:r>
      <w:r w:rsidRPr="00B11372">
        <w:rPr>
          <w:rFonts w:cs="Arial"/>
          <w:i/>
          <w:szCs w:val="18"/>
          <w:lang w:eastAsia="fr-FR"/>
        </w:rPr>
        <w:t>uplinkTxSwitching2T2T-PUSCH-TransCoherence-r17</w:t>
      </w:r>
      <w:r>
        <w:rPr>
          <w:rFonts w:cs="Arial"/>
          <w:szCs w:val="18"/>
          <w:lang w:eastAsia="fr-FR"/>
        </w:rPr>
        <w:t xml:space="preserve"> has realized the finest granularity indication </w:t>
      </w:r>
      <w:r w:rsidRPr="005763D8">
        <w:rPr>
          <w:rFonts w:cs="Arial"/>
          <w:szCs w:val="18"/>
          <w:lang w:eastAsia="fr-FR"/>
        </w:rPr>
        <w:t>for the 2Tx-capable UL band(s)</w:t>
      </w:r>
      <w:r>
        <w:rPr>
          <w:rFonts w:cs="Arial"/>
          <w:szCs w:val="18"/>
          <w:lang w:eastAsia="fr-FR"/>
        </w:rPr>
        <w:t>. If it is absent, the corresponding</w:t>
      </w:r>
      <w:r w:rsidR="00424420" w:rsidRPr="00424420">
        <w:rPr>
          <w:rFonts w:cs="Arial"/>
          <w:szCs w:val="18"/>
          <w:lang w:eastAsia="fr-FR"/>
        </w:rPr>
        <w:t xml:space="preserve"> </w:t>
      </w:r>
      <w:r w:rsidR="00424420">
        <w:rPr>
          <w:rFonts w:cs="Arial"/>
          <w:szCs w:val="18"/>
          <w:lang w:eastAsia="fr-FR"/>
        </w:rPr>
        <w:t>Rel-15/16</w:t>
      </w:r>
      <w:r>
        <w:rPr>
          <w:rFonts w:cs="Arial"/>
          <w:szCs w:val="18"/>
          <w:lang w:eastAsia="fr-FR"/>
        </w:rPr>
        <w:t xml:space="preserve"> field can be applied. Therefore, we observe that the Rel-17 UE capability reporting for UL-MIMO coherence is sufficient for R18 UL Tx switching.</w:t>
      </w:r>
    </w:p>
    <w:tbl>
      <w:tblPr>
        <w:tblStyle w:val="a7"/>
        <w:tblW w:w="0" w:type="auto"/>
        <w:tblLook w:val="04A0" w:firstRow="1" w:lastRow="0" w:firstColumn="1" w:lastColumn="0" w:noHBand="0" w:noVBand="1"/>
      </w:tblPr>
      <w:tblGrid>
        <w:gridCol w:w="9060"/>
      </w:tblGrid>
      <w:tr w:rsidR="005763D8" w14:paraId="39343D4B" w14:textId="77777777" w:rsidTr="005763D8">
        <w:tc>
          <w:tcPr>
            <w:tcW w:w="9060" w:type="dxa"/>
          </w:tcPr>
          <w:p w14:paraId="2A607183" w14:textId="77777777" w:rsidR="005763D8" w:rsidRPr="00B11372" w:rsidRDefault="005763D8" w:rsidP="005763D8">
            <w:pPr>
              <w:pStyle w:val="TAL"/>
              <w:rPr>
                <w:b/>
                <w:bCs/>
                <w:i/>
                <w:iCs/>
              </w:rPr>
            </w:pPr>
            <w:r w:rsidRPr="00B11372">
              <w:rPr>
                <w:b/>
                <w:bCs/>
                <w:i/>
                <w:iCs/>
              </w:rPr>
              <w:t>UplinkTxSwitchingBandParameters-v1700</w:t>
            </w:r>
          </w:p>
          <w:p w14:paraId="50EF75FF" w14:textId="77777777" w:rsidR="005763D8" w:rsidRPr="00B11372" w:rsidRDefault="005763D8" w:rsidP="005763D8">
            <w:pPr>
              <w:pStyle w:val="TAL"/>
            </w:pPr>
            <w:r w:rsidRPr="00B11372">
              <w:t>Contains the UL Tx switching specific band parameters for a given band combination.</w:t>
            </w:r>
          </w:p>
          <w:p w14:paraId="0D8E9573" w14:textId="77777777" w:rsidR="005763D8" w:rsidRPr="00B11372" w:rsidRDefault="005763D8" w:rsidP="005763D8">
            <w:pPr>
              <w:pStyle w:val="TAL"/>
              <w:rPr>
                <w:bCs/>
                <w:iCs/>
                <w:szCs w:val="18"/>
              </w:rPr>
            </w:pPr>
            <w:r w:rsidRPr="00B11372">
              <w:rPr>
                <w:lang w:eastAsia="fr-FR"/>
              </w:rPr>
              <w:t>The capability signalling comprises of the following parameters:</w:t>
            </w:r>
          </w:p>
          <w:p w14:paraId="32082024" w14:textId="77777777" w:rsidR="005763D8" w:rsidRPr="00B11372" w:rsidRDefault="005763D8" w:rsidP="005763D8">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r w:rsidRPr="00B11372">
              <w:rPr>
                <w:i/>
                <w:lang w:eastAsia="fr-FR"/>
              </w:rPr>
              <w:t>bandIndex</w:t>
            </w:r>
            <w:r w:rsidRPr="00B11372">
              <w:rPr>
                <w:lang w:eastAsia="fr-FR"/>
              </w:rPr>
              <w:t xml:space="preserve"> xx refers to the xxth band entry in the band combination.</w:t>
            </w:r>
          </w:p>
          <w:p w14:paraId="16EDBB39" w14:textId="7CC5C3DD" w:rsidR="005763D8" w:rsidRDefault="005763D8" w:rsidP="005763D8">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r w:rsidRPr="00B11372">
              <w:rPr>
                <w:rFonts w:cs="Arial"/>
                <w:bCs/>
                <w:i/>
                <w:iCs/>
                <w:szCs w:val="18"/>
              </w:rPr>
              <w:t>pusch-TransCoherence</w:t>
            </w:r>
            <w:r w:rsidRPr="00B11372">
              <w:rPr>
                <w:rFonts w:cs="Arial"/>
                <w:bCs/>
                <w:iCs/>
                <w:szCs w:val="18"/>
              </w:rPr>
              <w:t xml:space="preserve"> is applied when uplink Tx switching is triggered between last transmitted SRS and scheduled PUSCH transmission, as specified in TS 38.101-1 [2].</w:t>
            </w:r>
          </w:p>
        </w:tc>
      </w:tr>
      <w:tr w:rsidR="005763D8" w14:paraId="035BA846" w14:textId="77777777" w:rsidTr="005763D8">
        <w:tc>
          <w:tcPr>
            <w:tcW w:w="9060" w:type="dxa"/>
          </w:tcPr>
          <w:p w14:paraId="49F7FDBB" w14:textId="77777777" w:rsidR="005763D8" w:rsidRPr="00B11372" w:rsidRDefault="005763D8" w:rsidP="005763D8">
            <w:pPr>
              <w:pStyle w:val="TAL"/>
              <w:rPr>
                <w:b/>
                <w:bCs/>
                <w:i/>
                <w:iCs/>
                <w:lang w:eastAsia="fr-FR"/>
              </w:rPr>
            </w:pPr>
            <w:r w:rsidRPr="00B11372">
              <w:rPr>
                <w:b/>
                <w:bCs/>
                <w:i/>
                <w:iCs/>
                <w:lang w:eastAsia="fr-FR"/>
              </w:rPr>
              <w:t>uplinkTxSwitching-PUSCH-TransCoherence-r16</w:t>
            </w:r>
          </w:p>
          <w:p w14:paraId="49CDBFEE" w14:textId="77777777" w:rsidR="005763D8" w:rsidRPr="00B11372" w:rsidRDefault="005763D8" w:rsidP="005763D8">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7548F4DC" w14:textId="77777777" w:rsidR="005763D8" w:rsidRPr="00B11372" w:rsidRDefault="005763D8" w:rsidP="005763D8">
            <w:pPr>
              <w:pStyle w:val="TAL"/>
              <w:rPr>
                <w:bCs/>
                <w:iCs/>
              </w:rPr>
            </w:pPr>
            <w:r w:rsidRPr="00B11372">
              <w:rPr>
                <w:bCs/>
                <w:iCs/>
              </w:rPr>
              <w:t>UE indicating support of full coherent codebook subset shall also support non-coherent codebook subset.</w:t>
            </w:r>
          </w:p>
          <w:p w14:paraId="242039F1" w14:textId="0AE68F3D" w:rsidR="005763D8" w:rsidRDefault="005763D8" w:rsidP="005763D8">
            <w:r w:rsidRPr="00B11372">
              <w:rPr>
                <w:bCs/>
                <w:iCs/>
              </w:rPr>
              <w:t xml:space="preserve">If the field is absent, the supported uplink codebook subset indicated by </w:t>
            </w:r>
            <w:r w:rsidRPr="00B11372">
              <w:rPr>
                <w:bCs/>
                <w:i/>
              </w:rPr>
              <w:t>pusch-TransCoherence</w:t>
            </w:r>
            <w:r w:rsidRPr="00B11372">
              <w:rPr>
                <w:bCs/>
                <w:iCs/>
              </w:rPr>
              <w:t xml:space="preserve"> applies when the uplink switching is triggered between last transmitted SRS and scheduled transmission.</w:t>
            </w:r>
          </w:p>
        </w:tc>
      </w:tr>
    </w:tbl>
    <w:p w14:paraId="7C612F22" w14:textId="425A4B1A" w:rsidR="00010772" w:rsidRPr="00C43551" w:rsidRDefault="00424420" w:rsidP="00A2414B">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hint="eastAsia"/>
          <w:b/>
          <w:sz w:val="20"/>
          <w:szCs w:val="20"/>
        </w:rPr>
        <w:t>R</w:t>
      </w:r>
      <w:r>
        <w:rPr>
          <w:rFonts w:ascii="Times New Roman" w:eastAsiaTheme="minorEastAsia" w:hAnsi="Times New Roman"/>
          <w:b/>
          <w:sz w:val="20"/>
          <w:szCs w:val="20"/>
        </w:rPr>
        <w:t>euse the Rel-17 signaling to report UE capability of UL-MIMO coherence.</w:t>
      </w:r>
    </w:p>
    <w:p w14:paraId="02DB5EE9" w14:textId="53077A9A" w:rsidR="00541641" w:rsidRDefault="006D082C" w:rsidP="00541641">
      <w:pPr>
        <w:pStyle w:val="2"/>
      </w:pPr>
      <w:r>
        <w:lastRenderedPageBreak/>
        <w:t>RRC configuration</w:t>
      </w:r>
    </w:p>
    <w:p w14:paraId="6961F316" w14:textId="3538F879" w:rsidR="00194C84" w:rsidRDefault="00C43551" w:rsidP="00541641">
      <w:r>
        <w:t xml:space="preserve">In legacy RRC configuration for Rel-16/17 UL Tx switching, </w:t>
      </w:r>
      <w:r w:rsidRPr="00FB7F07">
        <w:t>the UL Tx switching option</w:t>
      </w:r>
      <w:r>
        <w:t xml:space="preserve"> is configured </w:t>
      </w:r>
      <w:r w:rsidR="00083D0E">
        <w:t xml:space="preserve">only </w:t>
      </w:r>
      <w:r>
        <w:t xml:space="preserve">in the </w:t>
      </w:r>
      <w:r w:rsidR="00083D0E" w:rsidRPr="00083D0E">
        <w:rPr>
          <w:i/>
        </w:rPr>
        <w:t>CellGroupConfig</w:t>
      </w:r>
      <w:r>
        <w:t>, which means it is applicable for all the serving cells [2]:</w:t>
      </w:r>
    </w:p>
    <w:p w14:paraId="72B1269F" w14:textId="77777777" w:rsidR="00C43551" w:rsidRPr="00B55E3E" w:rsidRDefault="00C43551" w:rsidP="00C43551">
      <w:pPr>
        <w:pStyle w:val="PL"/>
        <w:snapToGrid w:val="0"/>
      </w:pPr>
      <w:r w:rsidRPr="00B55E3E">
        <w:t xml:space="preserve">CellGroupConfig ::=                        </w:t>
      </w:r>
      <w:r w:rsidRPr="00B55E3E">
        <w:rPr>
          <w:color w:val="993366"/>
        </w:rPr>
        <w:t>SEQUENCE</w:t>
      </w:r>
      <w:r w:rsidRPr="00B55E3E">
        <w:t xml:space="preserve"> {</w:t>
      </w:r>
    </w:p>
    <w:p w14:paraId="32ADF1BF" w14:textId="766E4077" w:rsidR="00C43551" w:rsidRPr="00B55E3E" w:rsidRDefault="00C43551" w:rsidP="00C43551">
      <w:pPr>
        <w:pStyle w:val="PL"/>
        <w:snapToGrid w:val="0"/>
      </w:pPr>
      <w:r w:rsidRPr="00B55E3E">
        <w:t xml:space="preserve">    </w:t>
      </w:r>
      <w:r>
        <w:t>……</w:t>
      </w:r>
      <w:r>
        <w:rPr>
          <w:rFonts w:ascii="宋体" w:eastAsia="宋体" w:hAnsi="宋体" w:cs="宋体" w:hint="eastAsia"/>
          <w:lang w:eastAsia="zh-CN"/>
        </w:rPr>
        <w:t>&lt;</w:t>
      </w:r>
      <w:r>
        <w:rPr>
          <w:rFonts w:ascii="宋体" w:eastAsia="宋体" w:hAnsi="宋体" w:cs="宋体"/>
          <w:lang w:eastAsia="zh-CN"/>
        </w:rPr>
        <w:t>irrelevant fields&gt;</w:t>
      </w:r>
    </w:p>
    <w:p w14:paraId="5620046D" w14:textId="77777777" w:rsidR="00C43551" w:rsidRPr="00B55E3E" w:rsidRDefault="00C43551" w:rsidP="00C43551">
      <w:pPr>
        <w:pStyle w:val="PL"/>
        <w:snapToGrid w:val="0"/>
      </w:pPr>
      <w:r w:rsidRPr="00B55E3E">
        <w:t xml:space="preserve">    [[</w:t>
      </w:r>
    </w:p>
    <w:p w14:paraId="2556B3D9" w14:textId="77777777" w:rsidR="00C43551" w:rsidRPr="00B55E3E" w:rsidRDefault="00C43551" w:rsidP="00C43551">
      <w:pPr>
        <w:pStyle w:val="PL"/>
        <w:snapToGrid w:val="0"/>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0A3E550A" w14:textId="77777777" w:rsidR="00C43551" w:rsidRPr="00B55E3E" w:rsidRDefault="00C43551" w:rsidP="00C43551">
      <w:pPr>
        <w:pStyle w:val="PL"/>
        <w:snapToGrid w:val="0"/>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145125DF" w14:textId="77777777" w:rsidR="00C43551" w:rsidRPr="00B55E3E" w:rsidRDefault="00C43551" w:rsidP="00C43551">
      <w:pPr>
        <w:pStyle w:val="PL"/>
        <w:snapToGrid w:val="0"/>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08268932" w14:textId="77777777" w:rsidR="00C43551" w:rsidRPr="00B55E3E" w:rsidRDefault="00C43551" w:rsidP="00C43551">
      <w:pPr>
        <w:pStyle w:val="PL"/>
        <w:snapToGrid w:val="0"/>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496A0AF2" w14:textId="77777777" w:rsidR="00C43551" w:rsidRPr="00B55E3E" w:rsidRDefault="00C43551" w:rsidP="00C43551">
      <w:pPr>
        <w:pStyle w:val="PL"/>
        <w:snapToGrid w:val="0"/>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432C035" w14:textId="77777777" w:rsidR="00C43551" w:rsidRPr="00B55E3E" w:rsidRDefault="00C43551" w:rsidP="00C43551">
      <w:pPr>
        <w:pStyle w:val="PL"/>
        <w:snapToGrid w:val="0"/>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2A046003" w14:textId="77777777" w:rsidR="00C43551" w:rsidRPr="00B55E3E" w:rsidRDefault="00C43551" w:rsidP="00C43551">
      <w:pPr>
        <w:pStyle w:val="PL"/>
        <w:snapToGrid w:val="0"/>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4E413C2" w14:textId="77777777" w:rsidR="00C43551" w:rsidRPr="00B55E3E" w:rsidRDefault="00C43551" w:rsidP="00C43551">
      <w:pPr>
        <w:pStyle w:val="PL"/>
        <w:snapToGrid w:val="0"/>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3CD6A396" w14:textId="77777777" w:rsidR="00C43551" w:rsidRPr="00B55E3E" w:rsidRDefault="00C43551" w:rsidP="00C43551">
      <w:pPr>
        <w:pStyle w:val="PL"/>
        <w:snapToGrid w:val="0"/>
        <w:rPr>
          <w:color w:val="808080"/>
        </w:rPr>
      </w:pPr>
      <w:r w:rsidRPr="00B55E3E">
        <w:t xml:space="preserve">    </w:t>
      </w:r>
      <w:r w:rsidRPr="00C43551">
        <w:rPr>
          <w:highlight w:val="yellow"/>
        </w:rPr>
        <w:t xml:space="preserve">uplinkTxSwitchingOption-r16                </w:t>
      </w:r>
      <w:r w:rsidRPr="00C43551">
        <w:rPr>
          <w:color w:val="993366"/>
          <w:highlight w:val="yellow"/>
        </w:rPr>
        <w:t>ENUMERATED</w:t>
      </w:r>
      <w:r w:rsidRPr="00C43551">
        <w:rPr>
          <w:highlight w:val="yellow"/>
        </w:rPr>
        <w:t xml:space="preserve"> {switchedUL, dualUL}</w:t>
      </w:r>
      <w:r w:rsidRPr="00B55E3E">
        <w:t xml:space="preserve">                                         </w:t>
      </w:r>
      <w:r w:rsidRPr="00B55E3E">
        <w:rPr>
          <w:color w:val="993366"/>
        </w:rPr>
        <w:t>OPTIONAL</w:t>
      </w:r>
      <w:r w:rsidRPr="00B55E3E">
        <w:t xml:space="preserve">,   </w:t>
      </w:r>
      <w:r w:rsidRPr="00B55E3E">
        <w:rPr>
          <w:color w:val="808080"/>
        </w:rPr>
        <w:t>-- Need R</w:t>
      </w:r>
    </w:p>
    <w:p w14:paraId="114E8E7B" w14:textId="77777777" w:rsidR="00C43551" w:rsidRPr="00B55E3E" w:rsidRDefault="00C43551" w:rsidP="00C43551">
      <w:pPr>
        <w:pStyle w:val="PL"/>
        <w:snapToGrid w:val="0"/>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DBCC81F" w14:textId="77777777" w:rsidR="00C43551" w:rsidRPr="00B55E3E" w:rsidRDefault="00C43551" w:rsidP="00C43551">
      <w:pPr>
        <w:pStyle w:val="PL"/>
        <w:snapToGrid w:val="0"/>
      </w:pPr>
      <w:r w:rsidRPr="00B55E3E">
        <w:t xml:space="preserve">    ]],</w:t>
      </w:r>
    </w:p>
    <w:p w14:paraId="22A5BDE1" w14:textId="3B363635" w:rsidR="00C43551" w:rsidRPr="00B55E3E" w:rsidRDefault="00C43551" w:rsidP="00083D0E">
      <w:pPr>
        <w:pStyle w:val="PL"/>
        <w:snapToGrid w:val="0"/>
      </w:pPr>
      <w:r w:rsidRPr="00B55E3E">
        <w:t xml:space="preserve">    </w:t>
      </w:r>
      <w:r w:rsidR="00083D0E">
        <w:t>……</w:t>
      </w:r>
      <w:r w:rsidR="00083D0E">
        <w:rPr>
          <w:rFonts w:ascii="宋体" w:eastAsia="宋体" w:hAnsi="宋体" w:cs="宋体" w:hint="eastAsia"/>
          <w:lang w:eastAsia="zh-CN"/>
        </w:rPr>
        <w:t>&lt;</w:t>
      </w:r>
      <w:r w:rsidR="00083D0E">
        <w:rPr>
          <w:rFonts w:ascii="宋体" w:eastAsia="宋体" w:hAnsi="宋体" w:cs="宋体"/>
          <w:lang w:eastAsia="zh-CN"/>
        </w:rPr>
        <w:t>irrelevant fields&gt;</w:t>
      </w:r>
    </w:p>
    <w:p w14:paraId="4B7227EB" w14:textId="77777777" w:rsidR="00C43551" w:rsidRPr="00B55E3E" w:rsidRDefault="00C43551" w:rsidP="00C43551">
      <w:pPr>
        <w:pStyle w:val="PL"/>
        <w:snapToGrid w:val="0"/>
      </w:pPr>
      <w:r w:rsidRPr="00B55E3E">
        <w:t>}</w:t>
      </w:r>
    </w:p>
    <w:p w14:paraId="783C1C4D" w14:textId="6DDC757B" w:rsidR="00A2414B" w:rsidRDefault="00083D0E" w:rsidP="00DD14D2">
      <w:pPr>
        <w:spacing w:before="120" w:after="120"/>
      </w:pPr>
      <w:bookmarkStart w:id="10" w:name="_Hlk92538289"/>
      <w:r>
        <w:rPr>
          <w:rFonts w:cs="Times New Roman"/>
          <w:szCs w:val="20"/>
        </w:rPr>
        <w:t>Alt 1 is reusing the legacy signaling, while alt 2 and alt 3 enables finer granularity of configuration. However, we do not see clear motivation about why we have to configure the switching option at per band pair level, which is complexed for configuration without providing obvious further benefit. Therefore, we suggest to just reuse the legacy signaling as Alt 1.</w:t>
      </w:r>
    </w:p>
    <w:bookmarkEnd w:id="10"/>
    <w:p w14:paraId="6D8C5E9F" w14:textId="422C5304" w:rsidR="00083D0E" w:rsidRPr="00C43551" w:rsidRDefault="00010772" w:rsidP="00DD14D2">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Upon configuring the UL Tx switching option for the UE, the gNB reuse the Rel-16/17 signalling, i.e. </w:t>
      </w:r>
      <w:r w:rsidRPr="00010772">
        <w:rPr>
          <w:rFonts w:ascii="Times New Roman" w:eastAsiaTheme="minorEastAsia" w:hAnsi="Times New Roman"/>
          <w:b/>
          <w:sz w:val="20"/>
          <w:szCs w:val="20"/>
        </w:rPr>
        <w:t>configure</w:t>
      </w:r>
      <w:r>
        <w:rPr>
          <w:rFonts w:ascii="Times New Roman" w:eastAsiaTheme="minorEastAsia" w:hAnsi="Times New Roman"/>
          <w:b/>
          <w:sz w:val="20"/>
          <w:szCs w:val="20"/>
        </w:rPr>
        <w:t>s</w:t>
      </w:r>
      <w:r w:rsidRPr="00010772">
        <w:rPr>
          <w:rFonts w:ascii="Times New Roman" w:eastAsiaTheme="minorEastAsia" w:hAnsi="Times New Roman"/>
          <w:b/>
          <w:sz w:val="20"/>
          <w:szCs w:val="20"/>
        </w:rPr>
        <w:t xml:space="preserve"> {switchedUL, dualUL} for all serving cells (i.e., for the band combination)</w:t>
      </w:r>
      <w:r>
        <w:rPr>
          <w:rFonts w:ascii="Times New Roman" w:eastAsiaTheme="minorEastAsia" w:hAnsi="Times New Roman"/>
          <w:b/>
          <w:sz w:val="20"/>
          <w:szCs w:val="20"/>
        </w:rPr>
        <w:t>.</w:t>
      </w:r>
    </w:p>
    <w:p w14:paraId="74CDD6C6" w14:textId="77777777" w:rsidR="001A25FC" w:rsidRPr="00083D0E"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DD14D2">
      <w:pPr>
        <w:pStyle w:val="a8"/>
        <w:spacing w:before="120"/>
        <w:rPr>
          <w:rFonts w:eastAsia="宋体"/>
          <w:lang w:eastAsia="zh-CN"/>
        </w:rPr>
      </w:pPr>
      <w:r>
        <w:rPr>
          <w:rFonts w:eastAsia="宋体"/>
          <w:lang w:eastAsia="zh-CN"/>
        </w:rPr>
        <w:t>Based on the discussion, we have the following observation and proposals:</w:t>
      </w:r>
    </w:p>
    <w:p w14:paraId="5E93ABAA" w14:textId="3F123BB9" w:rsidR="00541641" w:rsidRDefault="00C43551" w:rsidP="00DD14D2">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F</w:t>
      </w:r>
      <w:r w:rsidRPr="000070DC">
        <w:rPr>
          <w:rFonts w:ascii="Times New Roman" w:eastAsiaTheme="minorEastAsia" w:hAnsi="Times New Roman"/>
          <w:b/>
          <w:sz w:val="20"/>
          <w:szCs w:val="20"/>
        </w:rPr>
        <w:t>or UE capability reporting about the supported UL Tx switching options</w:t>
      </w:r>
      <w:r>
        <w:rPr>
          <w:rFonts w:ascii="Times New Roman" w:eastAsiaTheme="minorEastAsia" w:hAnsi="Times New Roman"/>
          <w:b/>
          <w:sz w:val="20"/>
          <w:szCs w:val="20"/>
        </w:rPr>
        <w:t>, the UE r</w:t>
      </w:r>
      <w:r w:rsidRPr="000070DC">
        <w:rPr>
          <w:rFonts w:ascii="Times New Roman" w:eastAsiaTheme="minorEastAsia" w:hAnsi="Times New Roman"/>
          <w:b/>
          <w:sz w:val="20"/>
          <w:szCs w:val="20"/>
        </w:rPr>
        <w:t>eport {switchedUL, dualUL, both} for the band combination and report supported band pair for concurrent transmission for the band combination</w:t>
      </w:r>
      <w:r>
        <w:rPr>
          <w:rFonts w:ascii="Times New Roman" w:eastAsiaTheme="minorEastAsia" w:hAnsi="Times New Roman" w:hint="eastAsia"/>
          <w:b/>
          <w:sz w:val="20"/>
          <w:szCs w:val="20"/>
        </w:rPr>
        <w:t>.</w:t>
      </w:r>
    </w:p>
    <w:p w14:paraId="3B4324D8" w14:textId="206A9239" w:rsidR="00E443C4" w:rsidRPr="00C43551" w:rsidRDefault="00C43551" w:rsidP="00DD14D2">
      <w:pPr>
        <w:pStyle w:val="aa"/>
        <w:numPr>
          <w:ilvl w:val="0"/>
          <w:numId w:val="12"/>
        </w:numPr>
        <w:spacing w:before="120" w:after="120"/>
        <w:ind w:left="1701" w:firstLineChars="0" w:hanging="1701"/>
        <w:rPr>
          <w:rFonts w:ascii="Times New Roman" w:hAnsi="Times New Roman"/>
          <w:b/>
          <w:kern w:val="0"/>
          <w:sz w:val="20"/>
          <w:szCs w:val="24"/>
        </w:rPr>
      </w:pPr>
      <w:r w:rsidRPr="00D07646">
        <w:rPr>
          <w:rFonts w:ascii="Times New Roman" w:eastAsiaTheme="minorEastAsia" w:hAnsi="Times New Roman"/>
          <w:b/>
          <w:sz w:val="20"/>
          <w:szCs w:val="20"/>
        </w:rPr>
        <w:t xml:space="preserve">Wait for RAN4 on </w:t>
      </w:r>
      <w:r>
        <w:rPr>
          <w:rFonts w:ascii="Times New Roman" w:eastAsiaTheme="minorEastAsia" w:hAnsi="Times New Roman" w:hint="eastAsia"/>
          <w:b/>
          <w:sz w:val="20"/>
          <w:szCs w:val="20"/>
        </w:rPr>
        <w:t>fina</w:t>
      </w:r>
      <w:r>
        <w:rPr>
          <w:rFonts w:ascii="Times New Roman" w:eastAsiaTheme="minorEastAsia" w:hAnsi="Times New Roman"/>
          <w:b/>
          <w:sz w:val="20"/>
          <w:szCs w:val="20"/>
        </w:rPr>
        <w:t>l decision about l</w:t>
      </w:r>
      <w:r w:rsidRPr="00D07646">
        <w:rPr>
          <w:rFonts w:ascii="Times New Roman" w:eastAsiaTheme="minorEastAsia" w:hAnsi="Times New Roman"/>
          <w:b/>
          <w:sz w:val="20"/>
          <w:szCs w:val="20"/>
        </w:rPr>
        <w:t>ength of switching period</w:t>
      </w:r>
      <w:r>
        <w:rPr>
          <w:rFonts w:ascii="Times New Roman" w:eastAsiaTheme="minorEastAsia" w:hAnsi="Times New Roman"/>
          <w:b/>
          <w:sz w:val="20"/>
          <w:szCs w:val="20"/>
        </w:rPr>
        <w:t xml:space="preserve"> before RAN2 discussing switching period signaling.</w:t>
      </w:r>
    </w:p>
    <w:p w14:paraId="33784FC0" w14:textId="17F51461" w:rsidR="00C43551" w:rsidRPr="00010772" w:rsidRDefault="00C43551" w:rsidP="00DD14D2">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confirm reusing </w:t>
      </w:r>
      <w:r w:rsidRPr="00C43551">
        <w:rPr>
          <w:rFonts w:ascii="Times New Roman" w:eastAsiaTheme="minorEastAsia" w:hAnsi="Times New Roman"/>
          <w:b/>
          <w:sz w:val="20"/>
          <w:szCs w:val="20"/>
        </w:rPr>
        <w:t>Rel-16/17 agreement</w:t>
      </w:r>
      <w:r>
        <w:rPr>
          <w:rFonts w:ascii="Times New Roman" w:eastAsiaTheme="minorEastAsia" w:hAnsi="Times New Roman"/>
          <w:b/>
          <w:sz w:val="20"/>
          <w:szCs w:val="20"/>
        </w:rPr>
        <w:t xml:space="preserve"> for DL interruption.</w:t>
      </w:r>
    </w:p>
    <w:p w14:paraId="43E69C21" w14:textId="77777777" w:rsidR="00424420" w:rsidRPr="00424420" w:rsidRDefault="00424420" w:rsidP="00DD14D2">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hint="eastAsia"/>
          <w:b/>
          <w:sz w:val="20"/>
          <w:szCs w:val="20"/>
        </w:rPr>
        <w:t>R</w:t>
      </w:r>
      <w:r>
        <w:rPr>
          <w:rFonts w:ascii="Times New Roman" w:eastAsiaTheme="minorEastAsia" w:hAnsi="Times New Roman"/>
          <w:b/>
          <w:sz w:val="20"/>
          <w:szCs w:val="20"/>
        </w:rPr>
        <w:t>euse the Rel-17 signaling to report UE capability of UL-MIMO coherence.</w:t>
      </w:r>
    </w:p>
    <w:p w14:paraId="301B9565" w14:textId="032F2D39" w:rsidR="00010772" w:rsidRPr="00E443C4" w:rsidRDefault="00010772" w:rsidP="00DD14D2">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Upon configuring the UL Tx switching option for the UE, the gNB reuse the Rel-16/17 signalling, i.e. </w:t>
      </w:r>
      <w:r w:rsidRPr="00010772">
        <w:rPr>
          <w:rFonts w:ascii="Times New Roman" w:eastAsiaTheme="minorEastAsia" w:hAnsi="Times New Roman"/>
          <w:b/>
          <w:sz w:val="20"/>
          <w:szCs w:val="20"/>
        </w:rPr>
        <w:t>configure</w:t>
      </w:r>
      <w:r>
        <w:rPr>
          <w:rFonts w:ascii="Times New Roman" w:eastAsiaTheme="minorEastAsia" w:hAnsi="Times New Roman"/>
          <w:b/>
          <w:sz w:val="20"/>
          <w:szCs w:val="20"/>
        </w:rPr>
        <w:t>s</w:t>
      </w:r>
      <w:r w:rsidRPr="00010772">
        <w:rPr>
          <w:rFonts w:ascii="Times New Roman" w:eastAsiaTheme="minorEastAsia" w:hAnsi="Times New Roman"/>
          <w:b/>
          <w:sz w:val="20"/>
          <w:szCs w:val="20"/>
        </w:rPr>
        <w:t xml:space="preserve"> {switchedUL, dualUL} for all serving cells (i.e., for the band combination)</w:t>
      </w:r>
      <w:r>
        <w:rPr>
          <w:rFonts w:ascii="Times New Roman" w:eastAsiaTheme="minorEastAsia" w:hAnsi="Times New Roman"/>
          <w:b/>
          <w:sz w:val="20"/>
          <w:szCs w:val="20"/>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683B2D46" w:rsidR="00541641" w:rsidRPr="00E14384" w:rsidRDefault="00C43551" w:rsidP="00541641">
      <w:pPr>
        <w:pStyle w:val="aa"/>
        <w:widowControl/>
        <w:numPr>
          <w:ilvl w:val="0"/>
          <w:numId w:val="13"/>
        </w:numPr>
        <w:ind w:firstLineChars="0"/>
        <w:jc w:val="left"/>
        <w:rPr>
          <w:rFonts w:ascii="Times New Roman" w:hAnsi="Times New Roman"/>
          <w:sz w:val="20"/>
          <w:szCs w:val="20"/>
        </w:rPr>
      </w:pPr>
      <w:r w:rsidRPr="00C43551">
        <w:rPr>
          <w:rFonts w:ascii="Times New Roman" w:hAnsi="Times New Roman"/>
          <w:sz w:val="20"/>
          <w:szCs w:val="20"/>
        </w:rPr>
        <w:t>R1-2210724</w:t>
      </w:r>
      <w:r>
        <w:rPr>
          <w:rFonts w:ascii="Times New Roman" w:hAnsi="Times New Roman"/>
          <w:sz w:val="20"/>
          <w:szCs w:val="20"/>
        </w:rPr>
        <w:t xml:space="preserve"> </w:t>
      </w:r>
      <w:r w:rsidRPr="00C43551">
        <w:rPr>
          <w:rFonts w:ascii="Times New Roman" w:hAnsi="Times New Roman"/>
          <w:sz w:val="20"/>
          <w:szCs w:val="20"/>
        </w:rPr>
        <w:t>LS on UE capability and gNB configuration for UL Tx switching across 3 or 4 bands in Rel-18</w:t>
      </w:r>
    </w:p>
    <w:p w14:paraId="337D2239" w14:textId="414ED671" w:rsidR="00C43551" w:rsidRPr="00C43551" w:rsidRDefault="00C43551"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hint="eastAsia"/>
          <w:color w:val="000000"/>
          <w:kern w:val="0"/>
          <w:sz w:val="20"/>
          <w:szCs w:val="20"/>
        </w:rPr>
        <w:t>T</w:t>
      </w:r>
      <w:r>
        <w:rPr>
          <w:rFonts w:ascii="Times New Roman" w:hAnsi="Times New Roman"/>
          <w:color w:val="000000"/>
          <w:kern w:val="0"/>
          <w:sz w:val="20"/>
          <w:szCs w:val="20"/>
        </w:rPr>
        <w:t>S 38.331 V17.2.0</w:t>
      </w:r>
    </w:p>
    <w:p w14:paraId="20EDEF21" w14:textId="60623AF8" w:rsidR="00541641" w:rsidRPr="00E14384" w:rsidRDefault="00C43551" w:rsidP="00541641">
      <w:pPr>
        <w:pStyle w:val="aa"/>
        <w:widowControl/>
        <w:numPr>
          <w:ilvl w:val="0"/>
          <w:numId w:val="13"/>
        </w:numPr>
        <w:ind w:firstLineChars="0"/>
        <w:jc w:val="left"/>
        <w:rPr>
          <w:rFonts w:ascii="Times New Roman" w:hAnsi="Times New Roman"/>
          <w:color w:val="000000"/>
          <w:kern w:val="0"/>
          <w:sz w:val="20"/>
          <w:szCs w:val="20"/>
        </w:rPr>
      </w:pPr>
      <w:r w:rsidRPr="00C43551">
        <w:rPr>
          <w:rFonts w:ascii="Times New Roman" w:hAnsi="Times New Roman"/>
          <w:sz w:val="20"/>
          <w:szCs w:val="20"/>
        </w:rPr>
        <w:t>R4-2217741</w:t>
      </w:r>
      <w:r>
        <w:rPr>
          <w:rFonts w:ascii="Times New Roman" w:hAnsi="Times New Roman"/>
          <w:sz w:val="20"/>
          <w:szCs w:val="20"/>
        </w:rPr>
        <w:t xml:space="preserve"> </w:t>
      </w:r>
      <w:r w:rsidRPr="00C43551">
        <w:rPr>
          <w:rFonts w:ascii="Times New Roman" w:hAnsi="Times New Roman"/>
          <w:sz w:val="20"/>
          <w:szCs w:val="20"/>
        </w:rPr>
        <w:t>LS on Rel-18 UL Tx switching</w:t>
      </w:r>
    </w:p>
    <w:p w14:paraId="34323547" w14:textId="77777777" w:rsidR="00A2414B" w:rsidRPr="00A2414B" w:rsidRDefault="00A2414B" w:rsidP="00A2414B"/>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D4EF9" w14:textId="77777777" w:rsidR="00E10E9F" w:rsidRDefault="00E10E9F" w:rsidP="003E7FE5">
      <w:r>
        <w:separator/>
      </w:r>
    </w:p>
  </w:endnote>
  <w:endnote w:type="continuationSeparator" w:id="0">
    <w:p w14:paraId="06A02FC8" w14:textId="77777777" w:rsidR="00E10E9F" w:rsidRDefault="00E10E9F"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F628D" w14:textId="77777777" w:rsidR="00E10E9F" w:rsidRDefault="00E10E9F" w:rsidP="003E7FE5">
      <w:r>
        <w:separator/>
      </w:r>
    </w:p>
  </w:footnote>
  <w:footnote w:type="continuationSeparator" w:id="0">
    <w:p w14:paraId="05CABAE4" w14:textId="77777777" w:rsidR="00E10E9F" w:rsidRDefault="00E10E9F"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10"/>
  </w:num>
  <w:num w:numId="4">
    <w:abstractNumId w:val="2"/>
  </w:num>
  <w:num w:numId="5">
    <w:abstractNumId w:val="16"/>
  </w:num>
  <w:num w:numId="6">
    <w:abstractNumId w:val="15"/>
  </w:num>
  <w:num w:numId="7">
    <w:abstractNumId w:val="7"/>
  </w:num>
  <w:num w:numId="8">
    <w:abstractNumId w:val="4"/>
  </w:num>
  <w:num w:numId="9">
    <w:abstractNumId w:val="17"/>
  </w:num>
  <w:num w:numId="10">
    <w:abstractNumId w:val="6"/>
  </w:num>
  <w:num w:numId="11">
    <w:abstractNumId w:val="13"/>
  </w:num>
  <w:num w:numId="12">
    <w:abstractNumId w:val="5"/>
  </w:num>
  <w:num w:numId="13">
    <w:abstractNumId w:val="18"/>
  </w:num>
  <w:num w:numId="14">
    <w:abstractNumId w:val="3"/>
  </w:num>
  <w:num w:numId="15">
    <w:abstractNumId w:val="11"/>
  </w:num>
  <w:num w:numId="16">
    <w:abstractNumId w:val="1"/>
  </w:num>
  <w:num w:numId="17">
    <w:abstractNumId w:val="0"/>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70DC"/>
    <w:rsid w:val="00010772"/>
    <w:rsid w:val="00013CA5"/>
    <w:rsid w:val="00034AE9"/>
    <w:rsid w:val="000444C5"/>
    <w:rsid w:val="00050EF2"/>
    <w:rsid w:val="0006132B"/>
    <w:rsid w:val="00077CB0"/>
    <w:rsid w:val="00083D0E"/>
    <w:rsid w:val="000A3A3B"/>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2F23"/>
    <w:rsid w:val="002A5FBD"/>
    <w:rsid w:val="002B1637"/>
    <w:rsid w:val="002B351A"/>
    <w:rsid w:val="002C273C"/>
    <w:rsid w:val="002C4919"/>
    <w:rsid w:val="002E7299"/>
    <w:rsid w:val="003144E6"/>
    <w:rsid w:val="003153AB"/>
    <w:rsid w:val="00343E37"/>
    <w:rsid w:val="0038200A"/>
    <w:rsid w:val="00385BCD"/>
    <w:rsid w:val="00386243"/>
    <w:rsid w:val="00392CF2"/>
    <w:rsid w:val="00394D3B"/>
    <w:rsid w:val="003A2AEA"/>
    <w:rsid w:val="003A7F88"/>
    <w:rsid w:val="003B4E47"/>
    <w:rsid w:val="003E7FE5"/>
    <w:rsid w:val="003F5429"/>
    <w:rsid w:val="004229EB"/>
    <w:rsid w:val="00424420"/>
    <w:rsid w:val="00427623"/>
    <w:rsid w:val="004526A5"/>
    <w:rsid w:val="004526CE"/>
    <w:rsid w:val="004A21A1"/>
    <w:rsid w:val="004D0653"/>
    <w:rsid w:val="004E29CA"/>
    <w:rsid w:val="004F599D"/>
    <w:rsid w:val="004F773B"/>
    <w:rsid w:val="00500EFE"/>
    <w:rsid w:val="005017F6"/>
    <w:rsid w:val="00536C5B"/>
    <w:rsid w:val="00541641"/>
    <w:rsid w:val="0055188C"/>
    <w:rsid w:val="00572C05"/>
    <w:rsid w:val="005763D8"/>
    <w:rsid w:val="005C100D"/>
    <w:rsid w:val="00600071"/>
    <w:rsid w:val="006011D9"/>
    <w:rsid w:val="00624E50"/>
    <w:rsid w:val="006419F8"/>
    <w:rsid w:val="00656556"/>
    <w:rsid w:val="00670BA2"/>
    <w:rsid w:val="00675CA4"/>
    <w:rsid w:val="0068750D"/>
    <w:rsid w:val="00690A1F"/>
    <w:rsid w:val="006B0026"/>
    <w:rsid w:val="006D082C"/>
    <w:rsid w:val="0073196B"/>
    <w:rsid w:val="00756311"/>
    <w:rsid w:val="00762D81"/>
    <w:rsid w:val="00775F8A"/>
    <w:rsid w:val="007801CA"/>
    <w:rsid w:val="007933C2"/>
    <w:rsid w:val="007B68E3"/>
    <w:rsid w:val="007C1459"/>
    <w:rsid w:val="007C761D"/>
    <w:rsid w:val="007E197F"/>
    <w:rsid w:val="00804755"/>
    <w:rsid w:val="008158E4"/>
    <w:rsid w:val="00820501"/>
    <w:rsid w:val="00831490"/>
    <w:rsid w:val="008A0860"/>
    <w:rsid w:val="008A52CB"/>
    <w:rsid w:val="008D6FFA"/>
    <w:rsid w:val="008E08F7"/>
    <w:rsid w:val="0091483E"/>
    <w:rsid w:val="009320AD"/>
    <w:rsid w:val="00970C8D"/>
    <w:rsid w:val="00977917"/>
    <w:rsid w:val="009A4A8D"/>
    <w:rsid w:val="009A760A"/>
    <w:rsid w:val="009B4524"/>
    <w:rsid w:val="009B7AAC"/>
    <w:rsid w:val="009C2B9D"/>
    <w:rsid w:val="009D20AB"/>
    <w:rsid w:val="00A03F0A"/>
    <w:rsid w:val="00A05584"/>
    <w:rsid w:val="00A2414B"/>
    <w:rsid w:val="00A36B0F"/>
    <w:rsid w:val="00A614E8"/>
    <w:rsid w:val="00A93A63"/>
    <w:rsid w:val="00A95FAE"/>
    <w:rsid w:val="00A9772D"/>
    <w:rsid w:val="00AD031B"/>
    <w:rsid w:val="00AF48F0"/>
    <w:rsid w:val="00AF4CE4"/>
    <w:rsid w:val="00B1430E"/>
    <w:rsid w:val="00B4348E"/>
    <w:rsid w:val="00B446DC"/>
    <w:rsid w:val="00B446F1"/>
    <w:rsid w:val="00B868C1"/>
    <w:rsid w:val="00BA57C4"/>
    <w:rsid w:val="00BA70E1"/>
    <w:rsid w:val="00BF43BA"/>
    <w:rsid w:val="00C052EE"/>
    <w:rsid w:val="00C06DD9"/>
    <w:rsid w:val="00C43551"/>
    <w:rsid w:val="00C5244F"/>
    <w:rsid w:val="00C57EB4"/>
    <w:rsid w:val="00C7419D"/>
    <w:rsid w:val="00CD02FB"/>
    <w:rsid w:val="00CD4DAB"/>
    <w:rsid w:val="00D0686A"/>
    <w:rsid w:val="00D07646"/>
    <w:rsid w:val="00D114AE"/>
    <w:rsid w:val="00D62CF7"/>
    <w:rsid w:val="00D801CB"/>
    <w:rsid w:val="00D8388D"/>
    <w:rsid w:val="00D97559"/>
    <w:rsid w:val="00DA6D01"/>
    <w:rsid w:val="00DC71A7"/>
    <w:rsid w:val="00DD14D2"/>
    <w:rsid w:val="00DE742A"/>
    <w:rsid w:val="00DF7126"/>
    <w:rsid w:val="00E10E9F"/>
    <w:rsid w:val="00E14384"/>
    <w:rsid w:val="00E165F2"/>
    <w:rsid w:val="00E16EEA"/>
    <w:rsid w:val="00E3582D"/>
    <w:rsid w:val="00E443C4"/>
    <w:rsid w:val="00E871C0"/>
    <w:rsid w:val="00E87241"/>
    <w:rsid w:val="00E95E8A"/>
    <w:rsid w:val="00EB2590"/>
    <w:rsid w:val="00EF37B8"/>
    <w:rsid w:val="00F20B0A"/>
    <w:rsid w:val="00F46F52"/>
    <w:rsid w:val="00F66CFB"/>
    <w:rsid w:val="00F8561D"/>
    <w:rsid w:val="00FA2A01"/>
    <w:rsid w:val="00FB7F0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목 록  단 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semiHidden/>
    <w:unhideWhenUsed/>
    <w:rsid w:val="002C4919"/>
    <w:rPr>
      <w:sz w:val="21"/>
      <w:szCs w:val="21"/>
    </w:rPr>
  </w:style>
  <w:style w:type="paragraph" w:styleId="af">
    <w:name w:val="annotation text"/>
    <w:basedOn w:val="a"/>
    <w:link w:val="af0"/>
    <w:semiHidden/>
    <w:unhideWhenUsed/>
    <w:rsid w:val="002C4919"/>
    <w:pPr>
      <w:jc w:val="left"/>
    </w:pPr>
  </w:style>
  <w:style w:type="character" w:customStyle="1" w:styleId="af0">
    <w:name w:val="批注文字 字符"/>
    <w:basedOn w:val="a0"/>
    <w:link w:val="af"/>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659</TotalTime>
  <Pages>5</Pages>
  <Words>1774</Words>
  <Characters>10113</Characters>
  <Application>Microsoft Office Word</Application>
  <DocSecurity>0</DocSecurity>
  <Lines>84</Lines>
  <Paragraphs>23</Paragraphs>
  <ScaleCrop>false</ScaleCrop>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93</cp:revision>
  <dcterms:created xsi:type="dcterms:W3CDTF">2021-10-29T07:26:00Z</dcterms:created>
  <dcterms:modified xsi:type="dcterms:W3CDTF">2022-11-04T08:42:00Z</dcterms:modified>
</cp:coreProperties>
</file>